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1"/>
        <w:keepNext w:val="0"/>
        <w:keepLines w:val="0"/>
        <w:spacing w:after="0" w:before="0" w:line="240" w:lineRule="auto"/>
        <w:rPr>
          <w:rFonts w:ascii="Calibri" w:cs="Calibri" w:eastAsia="Calibri" w:hAnsi="Calibri"/>
          <w:b w:val="1"/>
          <w:bCs w:val="1"/>
          <w:color w:val="ff0000"/>
          <w:sz w:val="23"/>
          <w:szCs w:val="23"/>
        </w:rPr>
      </w:pPr>
      <w:r w:rsidDel="00000000" w:rsidR="00000000" w:rsidRPr="00000000">
        <w:rPr>
          <w:rtl w:val="0"/>
        </w:rPr>
      </w:r>
    </w:p>
    <w:tbl>
      <w:tblPr>
        <w:tblStyle w:val="Table1"/>
        <w:tblW w:w="95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5868"/>
        <w:tblGridChange w:id="0">
          <w:tblGrid>
            <w:gridCol w:w="3708"/>
            <w:gridCol w:w="5868"/>
          </w:tblGrid>
        </w:tblGridChange>
      </w:tblGrid>
      <w:tr>
        <w:trPr>
          <w:cantSplit w:val="0"/>
          <w:trHeight w:val="2420" w:hRule="atLeast"/>
          <w:tblHeader w:val="0"/>
        </w:trPr>
        <w:tc>
          <w:tcPr/>
          <w:p w:rsidR="00000000" w:rsidDel="00000000" w:rsidP="00000000" w:rsidRDefault="00000000" w:rsidRPr="00000000" w14:paraId="00000002">
            <w:pPr>
              <w:rPr/>
            </w:pPr>
            <w:r w:rsidDel="00000000" w:rsidR="00000000" w:rsidRPr="00000000">
              <w:rPr/>
              <w:drawing>
                <wp:inline distB="114300" distT="114300" distL="114300" distR="114300">
                  <wp:extent cx="1881188" cy="1537019"/>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881188" cy="1537019"/>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03">
            <w:pPr>
              <w:widowControl w:val="1"/>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HAWAI`I SCHOOL OF PROFESSIONAL PSYCHOLOGY</w:t>
            </w:r>
          </w:p>
          <w:p w:rsidR="00000000" w:rsidDel="00000000" w:rsidP="00000000" w:rsidRDefault="00000000" w:rsidRPr="00000000" w14:paraId="00000004">
            <w:pPr>
              <w:widowControl w:val="1"/>
              <w:pBdr>
                <w:top w:space="0" w:sz="0" w:val="nil"/>
                <w:left w:space="0" w:sz="0" w:val="nil"/>
                <w:bottom w:space="0" w:sz="0" w:val="nil"/>
                <w:right w:space="0" w:sz="0" w:val="nil"/>
                <w:between w:space="0" w:sz="0" w:val="nil"/>
              </w:pBd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AT CHAMINADE UNIVERSITY OF HONOLULU</w:t>
            </w:r>
          </w:p>
          <w:p w:rsidR="00000000" w:rsidDel="00000000" w:rsidP="00000000" w:rsidRDefault="00000000" w:rsidRPr="00000000" w14:paraId="00000005">
            <w:pPr>
              <w:rPr>
                <w:b w:val="1"/>
                <w:bCs w:val="1"/>
                <w:sz w:val="26"/>
                <w:szCs w:val="26"/>
              </w:rPr>
            </w:pPr>
            <w:r w:rsidDel="00000000" w:rsidR="00000000" w:rsidRPr="00000000">
              <w:rPr>
                <w:rtl w:val="0"/>
              </w:rPr>
            </w:r>
          </w:p>
          <w:p w:rsidR="00000000" w:rsidDel="00000000" w:rsidP="00000000" w:rsidRDefault="00000000" w:rsidRPr="00000000" w14:paraId="00000006">
            <w:pPr>
              <w:rPr>
                <w:sz w:val="22"/>
                <w:szCs w:val="22"/>
              </w:rPr>
            </w:pPr>
            <w:r w:rsidDel="00000000" w:rsidR="00000000" w:rsidRPr="00000000">
              <w:rPr>
                <w:b w:val="1"/>
                <w:bCs w:val="1"/>
                <w:sz w:val="22"/>
                <w:szCs w:val="22"/>
                <w:rtl w:val="0"/>
              </w:rPr>
              <w:t xml:space="preserve">Course Syllabus</w:t>
            </w:r>
            <w:r w:rsidDel="00000000" w:rsidR="00000000" w:rsidRPr="00000000">
              <w:rPr>
                <w:rtl w:val="0"/>
              </w:rPr>
            </w:r>
          </w:p>
          <w:p w:rsidR="00000000" w:rsidDel="00000000" w:rsidP="00000000" w:rsidRDefault="00000000" w:rsidRPr="00000000" w14:paraId="00000007">
            <w:pPr>
              <w:rPr>
                <w:color w:val="1a1a1a"/>
                <w:sz w:val="22"/>
                <w:szCs w:val="22"/>
              </w:rPr>
            </w:pPr>
            <w:hyperlink r:id="rId8">
              <w:r w:rsidDel="00000000" w:rsidR="00000000" w:rsidRPr="00000000">
                <w:rPr>
                  <w:color w:val="0000ff"/>
                  <w:sz w:val="22"/>
                  <w:szCs w:val="22"/>
                  <w:u w:val="single"/>
                  <w:rtl w:val="0"/>
                </w:rPr>
                <w:t xml:space="preserve">Chaminade University Honolulu</w:t>
              </w:r>
            </w:hyperlink>
            <w:r w:rsidDel="00000000" w:rsidR="00000000" w:rsidRPr="00000000">
              <w:rPr>
                <w:rtl w:val="0"/>
              </w:rPr>
            </w:r>
          </w:p>
          <w:p w:rsidR="00000000" w:rsidDel="00000000" w:rsidP="00000000" w:rsidRDefault="00000000" w:rsidRPr="00000000" w14:paraId="00000008">
            <w:pPr>
              <w:rPr>
                <w:color w:val="1a1a1a"/>
                <w:sz w:val="22"/>
                <w:szCs w:val="22"/>
              </w:rPr>
            </w:pPr>
            <w:r w:rsidDel="00000000" w:rsidR="00000000" w:rsidRPr="00000000">
              <w:rPr>
                <w:color w:val="1a1a1a"/>
                <w:sz w:val="22"/>
                <w:szCs w:val="22"/>
                <w:rtl w:val="0"/>
              </w:rPr>
              <w:t xml:space="preserve">3140 Wai‘alae Avenue - Honolulu, HI 96816</w:t>
            </w:r>
          </w:p>
          <w:p w:rsidR="00000000" w:rsidDel="00000000" w:rsidP="00000000" w:rsidRDefault="00000000" w:rsidRPr="00000000" w14:paraId="00000009">
            <w:pPr>
              <w:rPr/>
            </w:pPr>
            <w:hyperlink r:id="rId9">
              <w:r w:rsidDel="00000000" w:rsidR="00000000" w:rsidRPr="00000000">
                <w:rPr>
                  <w:color w:val="0000ff"/>
                  <w:sz w:val="22"/>
                  <w:szCs w:val="22"/>
                  <w:u w:val="single"/>
                  <w:rtl w:val="0"/>
                </w:rPr>
                <w:t xml:space="preserve">www.chaminade.edu</w:t>
              </w:r>
            </w:hyperlink>
            <w:r w:rsidDel="00000000" w:rsidR="00000000" w:rsidRPr="00000000">
              <w:rPr>
                <w:color w:val="1a1a1a"/>
                <w:sz w:val="26"/>
                <w:szCs w:val="26"/>
                <w:rtl w:val="0"/>
              </w:rPr>
              <w:t xml:space="preserve"> </w:t>
            </w:r>
            <w:r w:rsidDel="00000000" w:rsidR="00000000" w:rsidRPr="00000000">
              <w:rPr>
                <w:rtl w:val="0"/>
              </w:rPr>
            </w:r>
          </w:p>
        </w:tc>
      </w:tr>
    </w:tbl>
    <w:p w:rsidR="00000000" w:rsidDel="00000000" w:rsidP="00000000" w:rsidRDefault="00000000" w:rsidRPr="00000000" w14:paraId="0000000A">
      <w:pP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0B">
      <w:pP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Course Number</w:t>
      </w:r>
      <w:r w:rsidDel="00000000" w:rsidR="00000000" w:rsidRPr="00000000">
        <w:rPr>
          <w:rFonts w:ascii="Calibri" w:cs="Calibri" w:eastAsia="Calibri" w:hAnsi="Calibri"/>
          <w:sz w:val="22"/>
          <w:szCs w:val="22"/>
          <w:rtl w:val="0"/>
        </w:rPr>
        <w:t xml:space="preserve">: PP 8335</w:t>
      </w:r>
    </w:p>
    <w:p w:rsidR="00000000" w:rsidDel="00000000" w:rsidP="00000000" w:rsidRDefault="00000000" w:rsidRPr="00000000" w14:paraId="0000000C">
      <w:pP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Course Title</w:t>
      </w:r>
      <w:r w:rsidDel="00000000" w:rsidR="00000000" w:rsidRPr="00000000">
        <w:rPr>
          <w:rFonts w:ascii="Calibri" w:cs="Calibri" w:eastAsia="Calibri" w:hAnsi="Calibri"/>
          <w:sz w:val="22"/>
          <w:szCs w:val="22"/>
          <w:rtl w:val="0"/>
        </w:rPr>
        <w:t xml:space="preserve">: Special Populations in Clinical Psychology</w:t>
      </w:r>
    </w:p>
    <w:p w:rsidR="00000000" w:rsidDel="00000000" w:rsidP="00000000" w:rsidRDefault="00000000" w:rsidRPr="00000000" w14:paraId="0000000D">
      <w:pP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Department Name</w:t>
      </w:r>
      <w:r w:rsidDel="00000000" w:rsidR="00000000" w:rsidRPr="00000000">
        <w:rPr>
          <w:rFonts w:ascii="Calibri" w:cs="Calibri" w:eastAsia="Calibri" w:hAnsi="Calibri"/>
          <w:sz w:val="22"/>
          <w:szCs w:val="22"/>
          <w:rtl w:val="0"/>
        </w:rPr>
        <w:t xml:space="preserve">: Hawaiʻi School of Professional Psychology</w:t>
      </w:r>
    </w:p>
    <w:p w:rsidR="00000000" w:rsidDel="00000000" w:rsidP="00000000" w:rsidRDefault="00000000" w:rsidRPr="00000000" w14:paraId="0000000E">
      <w:pP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College/School/Division Name</w:t>
      </w:r>
      <w:r w:rsidDel="00000000" w:rsidR="00000000" w:rsidRPr="00000000">
        <w:rPr>
          <w:rFonts w:ascii="Calibri" w:cs="Calibri" w:eastAsia="Calibri" w:hAnsi="Calibri"/>
          <w:sz w:val="22"/>
          <w:szCs w:val="22"/>
          <w:rtl w:val="0"/>
        </w:rPr>
        <w:t xml:space="preserve">: College of Education and Behavioral Sciences</w:t>
      </w:r>
    </w:p>
    <w:p w:rsidR="00000000" w:rsidDel="00000000" w:rsidP="00000000" w:rsidRDefault="00000000" w:rsidRPr="00000000" w14:paraId="0000000F">
      <w:pP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Term</w:t>
      </w:r>
      <w:r w:rsidDel="00000000" w:rsidR="00000000" w:rsidRPr="00000000">
        <w:rPr>
          <w:rFonts w:ascii="Calibri" w:cs="Calibri" w:eastAsia="Calibri" w:hAnsi="Calibri"/>
          <w:sz w:val="22"/>
          <w:szCs w:val="22"/>
          <w:rtl w:val="0"/>
        </w:rPr>
        <w:t xml:space="preserve">: Summer 2026</w:t>
      </w:r>
    </w:p>
    <w:p w:rsidR="00000000" w:rsidDel="00000000" w:rsidP="00000000" w:rsidRDefault="00000000" w:rsidRPr="00000000" w14:paraId="00000010">
      <w:pP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Course Credits</w:t>
      </w:r>
      <w:r w:rsidDel="00000000" w:rsidR="00000000" w:rsidRPr="00000000">
        <w:rPr>
          <w:rFonts w:ascii="Calibri" w:cs="Calibri" w:eastAsia="Calibri" w:hAnsi="Calibri"/>
          <w:sz w:val="22"/>
          <w:szCs w:val="22"/>
          <w:rtl w:val="0"/>
        </w:rPr>
        <w:t xml:space="preserve">: 03</w:t>
      </w:r>
    </w:p>
    <w:p w:rsidR="00000000" w:rsidDel="00000000" w:rsidP="00000000" w:rsidRDefault="00000000" w:rsidRPr="00000000" w14:paraId="00000011">
      <w:pP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Class Meeting Days</w:t>
      </w:r>
      <w:r w:rsidDel="00000000" w:rsidR="00000000" w:rsidRPr="00000000">
        <w:rPr>
          <w:rFonts w:ascii="Calibri" w:cs="Calibri" w:eastAsia="Calibri" w:hAnsi="Calibri"/>
          <w:sz w:val="22"/>
          <w:szCs w:val="22"/>
          <w:rtl w:val="0"/>
        </w:rPr>
        <w:t xml:space="preserve">:  Wednesdays</w:t>
      </w:r>
    </w:p>
    <w:p w:rsidR="00000000" w:rsidDel="00000000" w:rsidP="00000000" w:rsidRDefault="00000000" w:rsidRPr="00000000" w14:paraId="00000012">
      <w:pP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Class Meeting Hours</w:t>
      </w:r>
      <w:r w:rsidDel="00000000" w:rsidR="00000000" w:rsidRPr="00000000">
        <w:rPr>
          <w:rFonts w:ascii="Calibri" w:cs="Calibri" w:eastAsia="Calibri" w:hAnsi="Calibri"/>
          <w:sz w:val="22"/>
          <w:szCs w:val="22"/>
          <w:rtl w:val="0"/>
        </w:rPr>
        <w:t xml:space="preserve">:  9:00am - 4:00pm (lunch 12:00-1:00pm)</w:t>
      </w:r>
    </w:p>
    <w:p w:rsidR="00000000" w:rsidDel="00000000" w:rsidP="00000000" w:rsidRDefault="00000000" w:rsidRPr="00000000" w14:paraId="00000013">
      <w:pP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Class Location</w:t>
      </w:r>
      <w:r w:rsidDel="00000000" w:rsidR="00000000" w:rsidRPr="00000000">
        <w:rPr>
          <w:rFonts w:ascii="Calibri" w:cs="Calibri" w:eastAsia="Calibri" w:hAnsi="Calibri"/>
          <w:sz w:val="22"/>
          <w:szCs w:val="22"/>
          <w:rtl w:val="0"/>
        </w:rPr>
        <w:t xml:space="preserve">: Keiffer 6</w:t>
      </w:r>
    </w:p>
    <w:p w:rsidR="00000000" w:rsidDel="00000000" w:rsidP="00000000" w:rsidRDefault="00000000" w:rsidRPr="00000000" w14:paraId="00000014">
      <w:pPr>
        <w:rPr>
          <w:rFonts w:ascii="Calibri" w:cs="Calibri" w:eastAsia="Calibri" w:hAnsi="Calibri"/>
        </w:rPr>
      </w:pPr>
      <w:r w:rsidDel="00000000" w:rsidR="00000000" w:rsidRPr="00000000">
        <w:rPr>
          <w:rtl w:val="0"/>
        </w:rPr>
      </w:r>
    </w:p>
    <w:p w:rsidR="00000000" w:rsidDel="00000000" w:rsidP="00000000" w:rsidRDefault="00000000" w:rsidRPr="00000000" w14:paraId="00000015">
      <w:pPr>
        <w:rPr>
          <w:rFonts w:ascii="Calibri" w:cs="Calibri" w:eastAsia="Calibri" w:hAnsi="Calibri"/>
          <w:sz w:val="22"/>
          <w:szCs w:val="22"/>
        </w:rPr>
      </w:pPr>
      <w:bookmarkStart w:colFirst="0" w:colLast="0" w:name="_heading=h.gjdgxs" w:id="0"/>
      <w:bookmarkEnd w:id="0"/>
      <w:r w:rsidDel="00000000" w:rsidR="00000000" w:rsidRPr="00000000">
        <w:rPr>
          <w:rFonts w:ascii="Calibri" w:cs="Calibri" w:eastAsia="Calibri" w:hAnsi="Calibri"/>
          <w:b w:val="1"/>
          <w:bCs w:val="1"/>
          <w:sz w:val="22"/>
          <w:szCs w:val="22"/>
          <w:rtl w:val="0"/>
        </w:rPr>
        <w:t xml:space="preserve">Instructor Name</w:t>
      </w:r>
      <w:r w:rsidDel="00000000" w:rsidR="00000000" w:rsidRPr="00000000">
        <w:rPr>
          <w:rFonts w:ascii="Calibri" w:cs="Calibri" w:eastAsia="Calibri" w:hAnsi="Calibri"/>
          <w:sz w:val="22"/>
          <w:szCs w:val="22"/>
          <w:rtl w:val="0"/>
        </w:rPr>
        <w:t xml:space="preserve">: Jeffrey D. Stern, PhD</w:t>
      </w:r>
    </w:p>
    <w:p w:rsidR="00000000" w:rsidDel="00000000" w:rsidP="00000000" w:rsidRDefault="00000000" w:rsidRPr="00000000" w14:paraId="00000016">
      <w:pP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Email</w:t>
      </w:r>
      <w:r w:rsidDel="00000000" w:rsidR="00000000" w:rsidRPr="00000000">
        <w:rPr>
          <w:rFonts w:ascii="Calibri" w:cs="Calibri" w:eastAsia="Calibri" w:hAnsi="Calibri"/>
          <w:sz w:val="22"/>
          <w:szCs w:val="22"/>
          <w:rtl w:val="0"/>
        </w:rPr>
        <w:t xml:space="preserve">: jeffrey.stern@chaminade.edu</w:t>
      </w:r>
    </w:p>
    <w:p w:rsidR="00000000" w:rsidDel="00000000" w:rsidP="00000000" w:rsidRDefault="00000000" w:rsidRPr="00000000" w14:paraId="00000017">
      <w:pP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Phone</w:t>
      </w:r>
      <w:r w:rsidDel="00000000" w:rsidR="00000000" w:rsidRPr="00000000">
        <w:rPr>
          <w:rFonts w:ascii="Calibri" w:cs="Calibri" w:eastAsia="Calibri" w:hAnsi="Calibri"/>
          <w:sz w:val="22"/>
          <w:szCs w:val="22"/>
          <w:rtl w:val="0"/>
        </w:rPr>
        <w:t xml:space="preserve">: 808.739.7427</w:t>
      </w:r>
    </w:p>
    <w:p w:rsidR="00000000" w:rsidDel="00000000" w:rsidP="00000000" w:rsidRDefault="00000000" w:rsidRPr="00000000" w14:paraId="00000018">
      <w:pP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Office Location</w:t>
      </w:r>
      <w:r w:rsidDel="00000000" w:rsidR="00000000" w:rsidRPr="00000000">
        <w:rPr>
          <w:rFonts w:ascii="Calibri" w:cs="Calibri" w:eastAsia="Calibri" w:hAnsi="Calibri"/>
          <w:sz w:val="22"/>
          <w:szCs w:val="22"/>
          <w:rtl w:val="0"/>
        </w:rPr>
        <w:t xml:space="preserve">: Behavioral Sciences, Rm. 109</w:t>
      </w:r>
    </w:p>
    <w:p w:rsidR="00000000" w:rsidDel="00000000" w:rsidP="00000000" w:rsidRDefault="00000000" w:rsidRPr="00000000" w14:paraId="00000019">
      <w:pPr>
        <w:ind w:left="720" w:hanging="72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Office Hours</w:t>
      </w:r>
      <w:r w:rsidDel="00000000" w:rsidR="00000000" w:rsidRPr="00000000">
        <w:rPr>
          <w:rFonts w:ascii="Calibri" w:cs="Calibri" w:eastAsia="Calibri" w:hAnsi="Calibri"/>
          <w:sz w:val="22"/>
          <w:szCs w:val="22"/>
          <w:rtl w:val="0"/>
        </w:rPr>
        <w:t xml:space="preserve">: Wednesdays, 7:00 - 9:00, 12:00-1:00 most days, and by appointment</w:t>
      </w:r>
    </w:p>
    <w:p w:rsidR="00000000" w:rsidDel="00000000" w:rsidP="00000000" w:rsidRDefault="00000000" w:rsidRPr="00000000" w14:paraId="0000001A">
      <w:pPr>
        <w:pBdr>
          <w:top w:space="0" w:sz="0" w:val="nil"/>
          <w:left w:space="0" w:sz="0" w:val="nil"/>
          <w:bottom w:space="0" w:sz="0" w:val="nil"/>
          <w:right w:space="0" w:sz="0" w:val="nil"/>
          <w:between w:space="0" w:sz="0" w:val="nil"/>
        </w:pBdr>
        <w:rPr>
          <w:rFonts w:ascii="Calibri" w:cs="Calibri" w:eastAsia="Calibri" w:hAnsi="Calibri"/>
          <w:b w:val="1"/>
          <w:bCs w:val="1"/>
          <w:color w:val="000000"/>
          <w:sz w:val="22"/>
          <w:szCs w:val="22"/>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University Course Catalog Description and Overview </w:t>
      </w:r>
    </w:p>
    <w:p w:rsidR="00000000" w:rsidDel="00000000" w:rsidP="00000000" w:rsidRDefault="00000000" w:rsidRPr="00000000" w14:paraId="0000001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"Special populations in clinical psychology" are, for the purpose of this course, defined as including any patient/client group that tends to be underrepresented in society and has a unique set of needs: Among others, children and adults with disabilities, LGBTQ+ individuals, survivors of trauma, immigrants/ESL speakers, military veterans, impoverished/homeless, and other non-traditional groups. Both child and adult members of these subpopulations require a specialized approach to assessment and treatment to enhance the validity of evaluations and treatment effectiveness.</w:t>
      </w:r>
    </w:p>
    <w:p w:rsidR="00000000" w:rsidDel="00000000" w:rsidP="00000000" w:rsidRDefault="00000000" w:rsidRPr="00000000" w14:paraId="0000001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Students can expect to work collaboratively on project-based learning activities, co-</w:t>
      </w:r>
      <w:r w:rsidDel="00000000" w:rsidR="00000000" w:rsidRPr="00000000">
        <w:rPr>
          <w:rFonts w:ascii="Calibri" w:cs="Calibri" w:eastAsia="Calibri" w:hAnsi="Calibri"/>
          <w:color w:val="000000"/>
          <w:sz w:val="22"/>
          <w:szCs w:val="22"/>
          <w:rtl w:val="0"/>
        </w:rPr>
        <w:t xml:space="preserve">creating an environment that supports critical-thinking </w:t>
      </w:r>
      <w:r w:rsidDel="00000000" w:rsidR="00000000" w:rsidRPr="00000000">
        <w:rPr>
          <w:rFonts w:ascii="Calibri" w:cs="Calibri" w:eastAsia="Calibri" w:hAnsi="Calibri"/>
          <w:sz w:val="22"/>
          <w:szCs w:val="22"/>
          <w:rtl w:val="0"/>
        </w:rPr>
        <w:t xml:space="preserve">and cooperative</w:t>
      </w:r>
      <w:r w:rsidDel="00000000" w:rsidR="00000000" w:rsidRPr="00000000">
        <w:rPr>
          <w:rFonts w:ascii="Calibri" w:cs="Calibri" w:eastAsia="Calibri" w:hAnsi="Calibri"/>
          <w:color w:val="000000"/>
          <w:sz w:val="22"/>
          <w:szCs w:val="22"/>
          <w:rtl w:val="0"/>
        </w:rPr>
        <w:t xml:space="preserve"> </w:t>
      </w:r>
      <w:r w:rsidDel="00000000" w:rsidR="00000000" w:rsidRPr="00000000">
        <w:rPr>
          <w:rFonts w:ascii="Calibri" w:cs="Calibri" w:eastAsia="Calibri" w:hAnsi="Calibri"/>
          <w:sz w:val="22"/>
          <w:szCs w:val="22"/>
          <w:rtl w:val="0"/>
        </w:rPr>
        <w:t xml:space="preserve">learning</w:t>
      </w:r>
      <w:r w:rsidDel="00000000" w:rsidR="00000000" w:rsidRPr="00000000">
        <w:rPr>
          <w:rFonts w:ascii="Calibri" w:cs="Calibri" w:eastAsia="Calibri" w:hAnsi="Calibri"/>
          <w:color w:val="000000"/>
          <w:sz w:val="22"/>
          <w:szCs w:val="22"/>
          <w:rtl w:val="0"/>
        </w:rPr>
        <w:t xml:space="preserve">.</w:t>
      </w:r>
    </w:p>
    <w:p w:rsidR="00000000" w:rsidDel="00000000" w:rsidP="00000000" w:rsidRDefault="00000000" w:rsidRPr="00000000" w14:paraId="0000001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0">
      <w:pP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Marianist Values</w:t>
      </w:r>
      <w:r w:rsidDel="00000000" w:rsidR="00000000" w:rsidRPr="00000000">
        <w:rPr>
          <w:rFonts w:ascii="Calibri" w:cs="Calibri" w:eastAsia="Calibri" w:hAnsi="Calibri"/>
          <w:sz w:val="22"/>
          <w:szCs w:val="22"/>
          <w:rtl w:val="0"/>
        </w:rPr>
        <w:br w:type="textWrapping"/>
        <w:t xml:space="preserve">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rsidR="00000000" w:rsidDel="00000000" w:rsidP="00000000" w:rsidRDefault="00000000" w:rsidRPr="00000000" w14:paraId="00000021">
      <w:pPr>
        <w:numPr>
          <w:ilvl w:val="0"/>
          <w:numId w:val="1"/>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Education for formation in faith</w:t>
      </w:r>
    </w:p>
    <w:p w:rsidR="00000000" w:rsidDel="00000000" w:rsidP="00000000" w:rsidRDefault="00000000" w:rsidRPr="00000000" w14:paraId="00000022">
      <w:pPr>
        <w:numPr>
          <w:ilvl w:val="0"/>
          <w:numId w:val="1"/>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Provide an integral, quality education</w:t>
      </w:r>
    </w:p>
    <w:p w:rsidR="00000000" w:rsidDel="00000000" w:rsidP="00000000" w:rsidRDefault="00000000" w:rsidRPr="00000000" w14:paraId="00000023">
      <w:pPr>
        <w:numPr>
          <w:ilvl w:val="0"/>
          <w:numId w:val="1"/>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Educate in family spirit</w:t>
      </w:r>
    </w:p>
    <w:p w:rsidR="00000000" w:rsidDel="00000000" w:rsidP="00000000" w:rsidRDefault="00000000" w:rsidRPr="00000000" w14:paraId="00000024">
      <w:pPr>
        <w:numPr>
          <w:ilvl w:val="0"/>
          <w:numId w:val="1"/>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Educate for service, justice and peace</w:t>
      </w:r>
    </w:p>
    <w:p w:rsidR="00000000" w:rsidDel="00000000" w:rsidP="00000000" w:rsidRDefault="00000000" w:rsidRPr="00000000" w14:paraId="00000025">
      <w:pPr>
        <w:numPr>
          <w:ilvl w:val="0"/>
          <w:numId w:val="1"/>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Educate for adaptation and change</w:t>
      </w:r>
    </w:p>
    <w:p w:rsidR="00000000" w:rsidDel="00000000" w:rsidP="00000000" w:rsidRDefault="00000000" w:rsidRPr="00000000" w14:paraId="00000026">
      <w:pPr>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7">
      <w:pP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28">
      <w:pP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29">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Native Hawaiian Values</w:t>
      </w:r>
    </w:p>
    <w:p w:rsidR="00000000" w:rsidDel="00000000" w:rsidP="00000000" w:rsidRDefault="00000000" w:rsidRPr="00000000" w14:paraId="0000002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ʻŌlelo No‘eau (Hawaiian proverbs) and Marianist core beliefs:</w:t>
      </w:r>
    </w:p>
    <w:p w:rsidR="00000000" w:rsidDel="00000000" w:rsidP="00000000" w:rsidRDefault="00000000" w:rsidRPr="00000000" w14:paraId="0000002B">
      <w:pPr>
        <w:numPr>
          <w:ilvl w:val="0"/>
          <w:numId w:val="3"/>
        </w:numPr>
        <w:ind w:left="720" w:right="18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Educate for Formation in Faith (Mana) E ola au i ke akua (ʻŌlelo Noʻeau 364) May I live by God</w:t>
      </w:r>
    </w:p>
    <w:p w:rsidR="00000000" w:rsidDel="00000000" w:rsidP="00000000" w:rsidRDefault="00000000" w:rsidRPr="00000000" w14:paraId="0000002C">
      <w:pPr>
        <w:numPr>
          <w:ilvl w:val="0"/>
          <w:numId w:val="3"/>
        </w:numPr>
        <w:ind w:left="720" w:right="18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2D">
      <w:pPr>
        <w:numPr>
          <w:ilvl w:val="0"/>
          <w:numId w:val="3"/>
        </w:numPr>
        <w:ind w:left="720" w:right="18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2E">
      <w:pPr>
        <w:numPr>
          <w:ilvl w:val="0"/>
          <w:numId w:val="3"/>
        </w:numPr>
        <w:ind w:left="720" w:right="18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2F">
      <w:pPr>
        <w:numPr>
          <w:ilvl w:val="0"/>
          <w:numId w:val="3"/>
        </w:numPr>
        <w:ind w:left="720" w:right="18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Educate for Adaptation and Change (ʻĀina) ʻAʻohe pau ka ‘ike i ka hālau hoʻokahi (ʻŌlelo Noʻeau 203) All knowledge is not taught in the same school</w:t>
      </w:r>
    </w:p>
    <w:p w:rsidR="00000000" w:rsidDel="00000000" w:rsidP="00000000" w:rsidRDefault="00000000" w:rsidRPr="00000000" w14:paraId="00000030">
      <w:pPr>
        <w:spacing w:line="276"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31">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Program Learning Outcomes: HSPP Aims and Competencies</w:t>
      </w:r>
    </w:p>
    <w:p w:rsidR="00000000" w:rsidDel="00000000" w:rsidP="00000000" w:rsidRDefault="00000000" w:rsidRPr="00000000" w14:paraId="0000003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Hawai‘i School of Professional Psychology at Chaminade University of Honolulu’s clinical psychology doctoral program’s aim is to educate and train students employing a practitioner-scholar model so that they will be able to function effectively as clinical psychologists. To ensure that students are adequately prepared, the curriculum is designed to provide for the meaningful integration of psychological science, theory, and clinical practice. The clinical psychology program at the Hawai‘i School of Professional Psychology is designed to emphasize the development of knowledge, skills, and attitudes essential in the training of health service psychologists who are committed to the ethical provision of quality, evidence based services to diverse populations and who are able to apply multiple theoretical perspectives to clinical issues. </w:t>
      </w:r>
    </w:p>
    <w:p w:rsidR="00000000" w:rsidDel="00000000" w:rsidP="00000000" w:rsidRDefault="00000000" w:rsidRPr="00000000" w14:paraId="0000003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Hawai‘i School of Professional Psychology at Chaminade University of Honolulu’s clinical psychology doctoral program subscribes to the American Psychological Association (APA) Standards of Accreditation. As such, students are expected to establish an identity in and orientation to health service psychology by acquiring the necessary discipline-specific knowledge and profession-wide competencies.</w:t>
      </w:r>
      <w:r w:rsidDel="00000000" w:rsidR="00000000" w:rsidRPr="00000000">
        <w:rPr>
          <w:rFonts w:ascii="Calibri" w:cs="Calibri" w:eastAsia="Calibri" w:hAnsi="Calibri"/>
          <w:color w:val="222222"/>
          <w:rtl w:val="0"/>
        </w:rPr>
        <w:t xml:space="preserve"> </w:t>
      </w:r>
      <w:r w:rsidDel="00000000" w:rsidR="00000000" w:rsidRPr="00000000">
        <w:rPr>
          <w:rFonts w:ascii="Calibri" w:cs="Calibri" w:eastAsia="Calibri" w:hAnsi="Calibri"/>
          <w:sz w:val="22"/>
          <w:szCs w:val="22"/>
          <w:rtl w:val="0"/>
        </w:rPr>
        <w:t xml:space="preserve">Upon completion of the PSYD degree in clinical psychology, students will be able to:</w:t>
      </w:r>
    </w:p>
    <w:p w:rsidR="00000000" w:rsidDel="00000000" w:rsidP="00000000" w:rsidRDefault="00000000" w:rsidRPr="00000000" w14:paraId="0000003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6">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Apply ethical and legal standards relevant to the practice of clinical psychology, including professional ethics that guide professional behavior.</w:t>
      </w:r>
      <w:r w:rsidDel="00000000" w:rsidR="00000000" w:rsidRPr="00000000">
        <w:rPr>
          <w:rtl w:val="0"/>
        </w:rPr>
      </w:r>
    </w:p>
    <w:p w:rsidR="00000000" w:rsidDel="00000000" w:rsidP="00000000" w:rsidRDefault="00000000" w:rsidRPr="00000000" w14:paraId="00000037">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Apply professional communication and interpersonal skills, to include the utilization of clear, informed, and well-integrated communication, as well as effective interpersonal skills across settings.</w:t>
      </w:r>
      <w:r w:rsidDel="00000000" w:rsidR="00000000" w:rsidRPr="00000000">
        <w:rPr>
          <w:rtl w:val="0"/>
        </w:rPr>
      </w:r>
    </w:p>
    <w:p w:rsidR="00000000" w:rsidDel="00000000" w:rsidP="00000000" w:rsidRDefault="00000000" w:rsidRPr="00000000" w14:paraId="00000038">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Apply professional values and attitudes across settings, including self-reflective practice and openness to supervision and feedback.</w:t>
      </w:r>
      <w:r w:rsidDel="00000000" w:rsidR="00000000" w:rsidRPr="00000000">
        <w:rPr>
          <w:rtl w:val="0"/>
        </w:rPr>
      </w:r>
    </w:p>
    <w:p w:rsidR="00000000" w:rsidDel="00000000" w:rsidP="00000000" w:rsidRDefault="00000000" w:rsidRPr="00000000" w14:paraId="00000039">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Apply awareness of individual and cultural diversity, including knowledge of theoretical models and diversity research that serve to guide the application of diversity competence.</w:t>
      </w:r>
      <w:r w:rsidDel="00000000" w:rsidR="00000000" w:rsidRPr="00000000">
        <w:rPr>
          <w:rtl w:val="0"/>
        </w:rPr>
      </w:r>
    </w:p>
    <w:p w:rsidR="00000000" w:rsidDel="00000000" w:rsidP="00000000" w:rsidRDefault="00000000" w:rsidRPr="00000000" w14:paraId="0000003A">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Articulate and integrate the history and systems of psychology as well as the basic areas in scientific psychology, including affective, biological, cognitive, developmental, psychopharmacological, and sociocultural aspects of behavior.</w:t>
      </w:r>
      <w:r w:rsidDel="00000000" w:rsidR="00000000" w:rsidRPr="00000000">
        <w:rPr>
          <w:rtl w:val="0"/>
        </w:rPr>
      </w:r>
    </w:p>
    <w:p w:rsidR="00000000" w:rsidDel="00000000" w:rsidP="00000000" w:rsidRDefault="00000000" w:rsidRPr="00000000" w14:paraId="0000003B">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Conduct science in psychology, applying psychometrics, statistical analyses, and quantitative and qualitative research methods.</w:t>
      </w:r>
      <w:r w:rsidDel="00000000" w:rsidR="00000000" w:rsidRPr="00000000">
        <w:rPr>
          <w:rtl w:val="0"/>
        </w:rPr>
      </w:r>
    </w:p>
    <w:p w:rsidR="00000000" w:rsidDel="00000000" w:rsidP="00000000" w:rsidRDefault="00000000" w:rsidRPr="00000000" w14:paraId="0000003C">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Competently perform psychological assessments, including the ability to administer, interpret, integrate, and convey results of psychological tests.</w:t>
      </w:r>
      <w:r w:rsidDel="00000000" w:rsidR="00000000" w:rsidRPr="00000000">
        <w:rPr>
          <w:rtl w:val="0"/>
        </w:rPr>
      </w:r>
    </w:p>
    <w:p w:rsidR="00000000" w:rsidDel="00000000" w:rsidP="00000000" w:rsidRDefault="00000000" w:rsidRPr="00000000" w14:paraId="0000003D">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Competently perform clinical interventions, including case formulation, theoretical conceptualization, developing and applying evidence-based treatment plans, and evaluating treatment effectiveness in work with clients.</w:t>
      </w:r>
      <w:r w:rsidDel="00000000" w:rsidR="00000000" w:rsidRPr="00000000">
        <w:rPr>
          <w:rtl w:val="0"/>
        </w:rPr>
      </w:r>
    </w:p>
    <w:p w:rsidR="00000000" w:rsidDel="00000000" w:rsidP="00000000" w:rsidRDefault="00000000" w:rsidRPr="00000000" w14:paraId="0000003E">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Apply knowledge of consultation models and practices, including interprofessional and interdisciplinary skills in consultative services.</w:t>
      </w:r>
      <w:r w:rsidDel="00000000" w:rsidR="00000000" w:rsidRPr="00000000">
        <w:rPr>
          <w:rtl w:val="0"/>
        </w:rPr>
      </w:r>
    </w:p>
    <w:p w:rsidR="00000000" w:rsidDel="00000000" w:rsidP="00000000" w:rsidRDefault="00000000" w:rsidRPr="00000000" w14:paraId="0000003F">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Articulate supervision models and practices, including areas of ethics and potential conflicts. </w:t>
      </w:r>
      <w:r w:rsidDel="00000000" w:rsidR="00000000" w:rsidRPr="00000000">
        <w:rPr>
          <w:rtl w:val="0"/>
        </w:rPr>
      </w:r>
    </w:p>
    <w:p w:rsidR="00000000" w:rsidDel="00000000" w:rsidP="00000000" w:rsidRDefault="00000000" w:rsidRPr="00000000" w14:paraId="00000040">
      <w:pPr>
        <w:numPr>
          <w:ilvl w:val="0"/>
          <w:numId w:val="2"/>
        </w:numPr>
        <w:ind w:left="720" w:hanging="360"/>
        <w:rPr>
          <w:sz w:val="22"/>
          <w:szCs w:val="22"/>
        </w:rPr>
      </w:pPr>
      <w:r w:rsidDel="00000000" w:rsidR="00000000" w:rsidRPr="00000000">
        <w:rPr>
          <w:rFonts w:ascii="Calibri" w:cs="Calibri" w:eastAsia="Calibri" w:hAnsi="Calibri"/>
          <w:sz w:val="22"/>
          <w:szCs w:val="22"/>
          <w:rtl w:val="0"/>
        </w:rPr>
        <w:t xml:space="preserve">Apply the Marianist values, through acts of community service, justice, and peace. </w:t>
      </w:r>
      <w:r w:rsidDel="00000000" w:rsidR="00000000" w:rsidRPr="00000000">
        <w:rPr>
          <w:rtl w:val="0"/>
        </w:rPr>
      </w:r>
    </w:p>
    <w:p w:rsidR="00000000" w:rsidDel="00000000" w:rsidP="00000000" w:rsidRDefault="00000000" w:rsidRPr="00000000" w14:paraId="00000041">
      <w:pPr>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rPr>
          <w:rFonts w:ascii="Calibri" w:cs="Calibri" w:eastAsia="Calibri" w:hAnsi="Calibri"/>
          <w:b w:val="1"/>
          <w:bCs w:val="1"/>
          <w:color w:val="000000"/>
          <w:sz w:val="22"/>
          <w:szCs w:val="22"/>
        </w:rPr>
      </w:pPr>
      <w:bookmarkStart w:colFirst="0" w:colLast="0" w:name="_heading=h.1fob9te" w:id="1"/>
      <w:bookmarkEnd w:id="1"/>
      <w:r w:rsidDel="00000000" w:rsidR="00000000" w:rsidRPr="00000000">
        <w:rPr>
          <w:rFonts w:ascii="Calibri" w:cs="Calibri" w:eastAsia="Calibri" w:hAnsi="Calibri"/>
          <w:b w:val="1"/>
          <w:bCs w:val="1"/>
          <w:color w:val="000000"/>
          <w:sz w:val="22"/>
          <w:szCs w:val="22"/>
          <w:rtl w:val="0"/>
        </w:rPr>
        <w:t xml:space="preserve">Course Learning Outcomes</w:t>
      </w:r>
    </w:p>
    <w:p w:rsidR="00000000" w:rsidDel="00000000" w:rsidP="00000000" w:rsidRDefault="00000000" w:rsidRPr="00000000" w14:paraId="00000043">
      <w:pPr>
        <w:numPr>
          <w:ilvl w:val="0"/>
          <w:numId w:val="4"/>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Students will demonstrate the ability to identify epidemiological information about and select appropriate assessment instruments and treatment strategies for special populations (generally defined by disability and/or diversity) (Competency 4).</w:t>
      </w:r>
    </w:p>
    <w:p w:rsidR="00000000" w:rsidDel="00000000" w:rsidP="00000000" w:rsidRDefault="00000000" w:rsidRPr="00000000" w14:paraId="00000044">
      <w:pPr>
        <w:numPr>
          <w:ilvl w:val="0"/>
          <w:numId w:val="4"/>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Students will demonstrate understanding of </w:t>
      </w:r>
      <w:r w:rsidDel="00000000" w:rsidR="00000000" w:rsidRPr="00000000">
        <w:rPr>
          <w:rFonts w:ascii="Calibri" w:cs="Calibri" w:eastAsia="Calibri" w:hAnsi="Calibri"/>
          <w:sz w:val="22"/>
          <w:szCs w:val="22"/>
          <w:rtl w:val="0"/>
        </w:rPr>
        <w:t xml:space="preserve">legal and ethical, issues associated with assessment and treatment of special populations (Competency 1).</w:t>
      </w:r>
      <w:r w:rsidDel="00000000" w:rsidR="00000000" w:rsidRPr="00000000">
        <w:rPr>
          <w:rtl w:val="0"/>
        </w:rPr>
      </w:r>
    </w:p>
    <w:p w:rsidR="00000000" w:rsidDel="00000000" w:rsidP="00000000" w:rsidRDefault="00000000" w:rsidRPr="00000000" w14:paraId="00000045">
      <w:pPr>
        <w:numPr>
          <w:ilvl w:val="0"/>
          <w:numId w:val="4"/>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Students will be able to critically review selected professional, theoretical, and research literature related to </w:t>
      </w:r>
      <w:r w:rsidDel="00000000" w:rsidR="00000000" w:rsidRPr="00000000">
        <w:rPr>
          <w:rFonts w:ascii="Calibri" w:cs="Calibri" w:eastAsia="Calibri" w:hAnsi="Calibri"/>
          <w:sz w:val="22"/>
          <w:szCs w:val="22"/>
          <w:rtl w:val="0"/>
        </w:rPr>
        <w:t xml:space="preserve">assessment and treatment of special populations </w:t>
      </w:r>
      <w:r w:rsidDel="00000000" w:rsidR="00000000" w:rsidRPr="00000000">
        <w:rPr>
          <w:rFonts w:ascii="Calibri" w:cs="Calibri" w:eastAsia="Calibri" w:hAnsi="Calibri"/>
          <w:color w:val="000000"/>
          <w:sz w:val="22"/>
          <w:szCs w:val="22"/>
          <w:rtl w:val="0"/>
        </w:rPr>
        <w:t xml:space="preserve">(Competency 6).</w:t>
      </w:r>
    </w:p>
    <w:p w:rsidR="00000000" w:rsidDel="00000000" w:rsidP="00000000" w:rsidRDefault="00000000" w:rsidRPr="00000000" w14:paraId="00000046">
      <w:pPr>
        <w:numPr>
          <w:ilvl w:val="0"/>
          <w:numId w:val="4"/>
        </w:numPr>
        <w:pBdr>
          <w:top w:space="0" w:sz="0" w:val="nil"/>
          <w:left w:space="0" w:sz="0" w:val="nil"/>
          <w:bottom w:space="0" w:sz="0" w:val="nil"/>
          <w:right w:space="0" w:sz="0" w:val="nil"/>
          <w:between w:space="0" w:sz="0" w:val="nil"/>
        </w:pBdr>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Students will demonstrate </w:t>
      </w:r>
      <w:r w:rsidDel="00000000" w:rsidR="00000000" w:rsidRPr="00000000">
        <w:rPr>
          <w:rFonts w:ascii="Calibri" w:cs="Calibri" w:eastAsia="Calibri" w:hAnsi="Calibri"/>
          <w:sz w:val="22"/>
          <w:szCs w:val="22"/>
          <w:rtl w:val="0"/>
        </w:rPr>
        <w:t xml:space="preserve">the ability to identify important assessment considerations in working with special populations </w:t>
      </w:r>
      <w:r w:rsidDel="00000000" w:rsidR="00000000" w:rsidRPr="00000000">
        <w:rPr>
          <w:rFonts w:ascii="Calibri" w:cs="Calibri" w:eastAsia="Calibri" w:hAnsi="Calibri"/>
          <w:color w:val="000000"/>
          <w:sz w:val="22"/>
          <w:szCs w:val="22"/>
          <w:rtl w:val="0"/>
        </w:rPr>
        <w:t xml:space="preserve">(Competency </w:t>
      </w:r>
      <w:r w:rsidDel="00000000" w:rsidR="00000000" w:rsidRPr="00000000">
        <w:rPr>
          <w:rFonts w:ascii="Calibri" w:cs="Calibri" w:eastAsia="Calibri" w:hAnsi="Calibri"/>
          <w:sz w:val="22"/>
          <w:szCs w:val="22"/>
          <w:rtl w:val="0"/>
        </w:rPr>
        <w:t xml:space="preserve">7</w:t>
      </w:r>
      <w:r w:rsidDel="00000000" w:rsidR="00000000" w:rsidRPr="00000000">
        <w:rPr>
          <w:rFonts w:ascii="Calibri" w:cs="Calibri" w:eastAsia="Calibri" w:hAnsi="Calibri"/>
          <w:color w:val="000000"/>
          <w:sz w:val="22"/>
          <w:szCs w:val="22"/>
          <w:rtl w:val="0"/>
        </w:rPr>
        <w:t xml:space="preserve">).</w:t>
      </w:r>
    </w:p>
    <w:p w:rsidR="00000000" w:rsidDel="00000000" w:rsidP="00000000" w:rsidRDefault="00000000" w:rsidRPr="00000000" w14:paraId="00000047">
      <w:pPr>
        <w:numPr>
          <w:ilvl w:val="0"/>
          <w:numId w:val="4"/>
        </w:numPr>
        <w:ind w:left="720" w:hanging="360"/>
        <w:rPr>
          <w:rFonts w:ascii="Calibri" w:cs="Calibri" w:eastAsia="Calibri" w:hAnsi="Calibri"/>
          <w:sz w:val="22"/>
          <w:szCs w:val="22"/>
        </w:rPr>
      </w:pPr>
      <w:bookmarkStart w:colFirst="0" w:colLast="0" w:name="_heading=h.3znysh7" w:id="2"/>
      <w:bookmarkEnd w:id="2"/>
      <w:r w:rsidDel="00000000" w:rsidR="00000000" w:rsidRPr="00000000">
        <w:rPr>
          <w:rFonts w:ascii="Calibri" w:cs="Calibri" w:eastAsia="Calibri" w:hAnsi="Calibri"/>
          <w:sz w:val="22"/>
          <w:szCs w:val="22"/>
          <w:rtl w:val="0"/>
        </w:rPr>
        <w:t xml:space="preserve">Students will demonstrate the ability to identify important treatment considerations in and a good working knowledge of the professional guidelines for working with special populations (Competency 8).</w:t>
      </w:r>
    </w:p>
    <w:p w:rsidR="00000000" w:rsidDel="00000000" w:rsidP="00000000" w:rsidRDefault="00000000" w:rsidRPr="00000000" w14:paraId="0000004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9">
      <w:pPr>
        <w:rPr>
          <w:rFonts w:ascii="Calibri" w:cs="Calibri" w:eastAsia="Calibri" w:hAnsi="Calibri"/>
          <w:b w:val="1"/>
          <w:bCs w:val="1"/>
          <w:sz w:val="22"/>
          <w:szCs w:val="22"/>
        </w:rPr>
      </w:pPr>
      <w:bookmarkStart w:colFirst="0" w:colLast="0" w:name="_heading=h.2et92p0" w:id="3"/>
      <w:bookmarkEnd w:id="3"/>
      <w:r w:rsidDel="00000000" w:rsidR="00000000" w:rsidRPr="00000000">
        <w:rPr>
          <w:rFonts w:ascii="Calibri" w:cs="Calibri" w:eastAsia="Calibri" w:hAnsi="Calibri"/>
          <w:b w:val="1"/>
          <w:bCs w:val="1"/>
          <w:sz w:val="22"/>
          <w:szCs w:val="22"/>
          <w:rtl w:val="0"/>
        </w:rPr>
        <w:t xml:space="preserve">Required Learning Materials </w:t>
      </w:r>
    </w:p>
    <w:p w:rsidR="00000000" w:rsidDel="00000000" w:rsidP="00000000" w:rsidRDefault="00000000" w:rsidRPr="00000000" w14:paraId="0000004A">
      <w:pPr>
        <w:widowControl w:val="0"/>
        <w:rPr>
          <w:rFonts w:ascii="Calibri" w:cs="Calibri" w:eastAsia="Calibri" w:hAnsi="Calibri"/>
          <w:i w:val="1"/>
          <w:iCs w:val="1"/>
          <w:sz w:val="22"/>
          <w:szCs w:val="22"/>
        </w:rPr>
      </w:pPr>
      <w:r w:rsidDel="00000000" w:rsidR="00000000" w:rsidRPr="00000000">
        <w:rPr>
          <w:rFonts w:ascii="Calibri" w:cs="Calibri" w:eastAsia="Calibri" w:hAnsi="Calibri"/>
          <w:i w:val="1"/>
          <w:iCs w:val="1"/>
          <w:sz w:val="22"/>
          <w:szCs w:val="22"/>
          <w:rtl w:val="0"/>
        </w:rPr>
        <w:t xml:space="preserve">Required Textbook</w:t>
      </w:r>
    </w:p>
    <w:p w:rsidR="00000000" w:rsidDel="00000000" w:rsidP="00000000" w:rsidRDefault="00000000" w:rsidRPr="00000000" w14:paraId="0000004B">
      <w:pPr>
        <w:widowControl w:val="0"/>
        <w:ind w:left="720" w:hanging="360"/>
        <w:rPr>
          <w:rFonts w:ascii="Calibri" w:cs="Calibri" w:eastAsia="Calibri" w:hAnsi="Calibri"/>
          <w:i w:val="1"/>
          <w:iCs w:val="1"/>
          <w:sz w:val="22"/>
          <w:szCs w:val="22"/>
        </w:rPr>
      </w:pPr>
      <w:r w:rsidDel="00000000" w:rsidR="00000000" w:rsidRPr="00000000">
        <w:rPr>
          <w:rFonts w:ascii="Calibri" w:cs="Calibri" w:eastAsia="Calibri" w:hAnsi="Calibri"/>
          <w:i w:val="1"/>
          <w:iCs w:val="1"/>
          <w:sz w:val="22"/>
          <w:szCs w:val="22"/>
          <w:rtl w:val="0"/>
        </w:rPr>
        <w:t xml:space="preserve">Ladau, E. (2021). Demystifying disability: What to know, what to say, and how to be an ally. </w:t>
      </w:r>
      <w:r w:rsidDel="00000000" w:rsidR="00000000" w:rsidRPr="00000000">
        <w:rPr>
          <w:rFonts w:ascii="Calibri" w:cs="Calibri" w:eastAsia="Calibri" w:hAnsi="Calibri"/>
          <w:sz w:val="22"/>
          <w:szCs w:val="22"/>
          <w:rtl w:val="0"/>
        </w:rPr>
        <w:t xml:space="preserve">Ten Speed Press.  ISBN 978-1-9848-5897-9</w:t>
      </w:r>
      <w:r w:rsidDel="00000000" w:rsidR="00000000" w:rsidRPr="00000000">
        <w:rPr>
          <w:rtl w:val="0"/>
        </w:rPr>
      </w:r>
    </w:p>
    <w:p w:rsidR="00000000" w:rsidDel="00000000" w:rsidP="00000000" w:rsidRDefault="00000000" w:rsidRPr="00000000" w14:paraId="0000004C">
      <w:pPr>
        <w:widowControl w:val="0"/>
        <w:ind w:left="360" w:hanging="36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D">
      <w:pPr>
        <w:widowControl w:val="0"/>
        <w:rPr>
          <w:rFonts w:ascii="Calibri" w:cs="Calibri" w:eastAsia="Calibri" w:hAnsi="Calibri"/>
          <w:sz w:val="22"/>
          <w:szCs w:val="22"/>
        </w:rPr>
      </w:pPr>
      <w:r w:rsidDel="00000000" w:rsidR="00000000" w:rsidRPr="00000000">
        <w:rPr>
          <w:rFonts w:ascii="Calibri" w:cs="Calibri" w:eastAsia="Calibri" w:hAnsi="Calibri"/>
          <w:i w:val="1"/>
          <w:iCs w:val="1"/>
          <w:sz w:val="22"/>
          <w:szCs w:val="22"/>
          <w:rtl w:val="0"/>
        </w:rPr>
        <w:t xml:space="preserve">Required Readings</w:t>
      </w:r>
      <w:r w:rsidDel="00000000" w:rsidR="00000000" w:rsidRPr="00000000">
        <w:rPr>
          <w:rtl w:val="0"/>
        </w:rPr>
      </w:r>
    </w:p>
    <w:p w:rsidR="00000000" w:rsidDel="00000000" w:rsidP="00000000" w:rsidRDefault="00000000" w:rsidRPr="00000000" w14:paraId="0000004E">
      <w:pPr>
        <w:widowControl w:val="0"/>
        <w:ind w:left="360" w:hanging="360"/>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Advocacy and legal foundations</w:t>
      </w:r>
    </w:p>
    <w:p w:rsidR="00000000" w:rsidDel="00000000" w:rsidP="00000000" w:rsidRDefault="00000000" w:rsidRPr="00000000" w14:paraId="0000004F">
      <w:pPr>
        <w:widowControl w:val="0"/>
        <w:ind w:left="720" w:hanging="360"/>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American Psychological Association (2019, July). </w:t>
      </w:r>
      <w:r w:rsidDel="00000000" w:rsidR="00000000" w:rsidRPr="00000000">
        <w:rPr>
          <w:rFonts w:ascii="Calibri" w:cs="Calibri" w:eastAsia="Calibri" w:hAnsi="Calibri"/>
          <w:i w:val="1"/>
          <w:iCs w:val="1"/>
          <w:sz w:val="22"/>
          <w:szCs w:val="22"/>
          <w:rtl w:val="0"/>
        </w:rPr>
        <w:t xml:space="preserve">Council policy manual: Special populations policies</w:t>
      </w:r>
      <w:r w:rsidDel="00000000" w:rsidR="00000000" w:rsidRPr="00000000">
        <w:rPr>
          <w:rFonts w:ascii="Calibri" w:cs="Calibri" w:eastAsia="Calibri" w:hAnsi="Calibri"/>
          <w:sz w:val="22"/>
          <w:szCs w:val="22"/>
          <w:rtl w:val="0"/>
        </w:rPr>
        <w:t xml:space="preserve">. </w:t>
      </w:r>
      <w:hyperlink r:id="rId10">
        <w:r w:rsidDel="00000000" w:rsidR="00000000" w:rsidRPr="00000000">
          <w:rPr>
            <w:rFonts w:ascii="Calibri" w:cs="Calibri" w:eastAsia="Calibri" w:hAnsi="Calibri"/>
            <w:color w:val="0000ff"/>
            <w:sz w:val="22"/>
            <w:szCs w:val="22"/>
            <w:u w:val="single"/>
            <w:rtl w:val="0"/>
          </w:rPr>
          <w:t xml:space="preserve">https://www.apa.org/about/policy/special-populations</w:t>
        </w:r>
      </w:hyperlink>
      <w:r w:rsidDel="00000000" w:rsidR="00000000" w:rsidRPr="00000000">
        <w:rPr>
          <w:rFonts w:ascii="Calibri" w:cs="Calibri" w:eastAsia="Calibri" w:hAnsi="Calibri"/>
          <w:color w:val="0000ff"/>
          <w:sz w:val="22"/>
          <w:szCs w:val="22"/>
          <w:u w:val="single"/>
          <w:rtl w:val="0"/>
        </w:rPr>
        <w:t xml:space="preserve"> (</w:t>
      </w:r>
      <w:r w:rsidDel="00000000" w:rsidR="00000000" w:rsidRPr="00000000">
        <w:rPr>
          <w:rFonts w:ascii="Calibri" w:cs="Calibri" w:eastAsia="Calibri" w:hAnsi="Calibri"/>
          <w:i w:val="1"/>
          <w:iCs w:val="1"/>
          <w:sz w:val="22"/>
          <w:szCs w:val="22"/>
          <w:rtl w:val="0"/>
        </w:rPr>
        <w:t xml:space="preserve">This is a resource page – please spend ½ hour perusing)</w:t>
      </w:r>
      <w:r w:rsidDel="00000000" w:rsidR="00000000" w:rsidRPr="00000000">
        <w:rPr>
          <w:rtl w:val="0"/>
        </w:rPr>
      </w:r>
    </w:p>
    <w:p w:rsidR="00000000" w:rsidDel="00000000" w:rsidP="00000000" w:rsidRDefault="00000000" w:rsidRPr="00000000" w14:paraId="00000050">
      <w:pPr>
        <w:widowControl w:val="0"/>
        <w:ind w:left="720" w:hanging="360"/>
        <w:rPr>
          <w:rFonts w:ascii="Calibri" w:cs="Calibri" w:eastAsia="Calibri" w:hAnsi="Calibri"/>
          <w:i w:val="1"/>
          <w:iCs w:val="1"/>
          <w:sz w:val="22"/>
          <w:szCs w:val="22"/>
        </w:rPr>
      </w:pPr>
      <w:r w:rsidDel="00000000" w:rsidR="00000000" w:rsidRPr="00000000">
        <w:rPr>
          <w:rFonts w:ascii="Calibri" w:cs="Calibri" w:eastAsia="Calibri" w:hAnsi="Calibri"/>
          <w:sz w:val="22"/>
          <w:szCs w:val="22"/>
          <w:rtl w:val="0"/>
        </w:rPr>
        <w:t xml:space="preserve">American Psychological Association (2019, July). Guidelines for assessment of and intervention with persons with disabilities. </w:t>
      </w:r>
      <w:hyperlink r:id="rId11">
        <w:r w:rsidDel="00000000" w:rsidR="00000000" w:rsidRPr="00000000">
          <w:rPr>
            <w:rFonts w:ascii="Calibri" w:cs="Calibri" w:eastAsia="Calibri" w:hAnsi="Calibri"/>
            <w:color w:val="0000ff"/>
            <w:sz w:val="22"/>
            <w:szCs w:val="22"/>
            <w:u w:val="single"/>
            <w:rtl w:val="0"/>
          </w:rPr>
          <w:t xml:space="preserve">https://www.apa.org/pi/disability/resources/assessment-disabilities</w:t>
        </w:r>
      </w:hyperlink>
      <w:r w:rsidDel="00000000" w:rsidR="00000000" w:rsidRPr="00000000">
        <w:rPr>
          <w:rtl w:val="0"/>
        </w:rPr>
      </w:r>
    </w:p>
    <w:p w:rsidR="00000000" w:rsidDel="00000000" w:rsidP="00000000" w:rsidRDefault="00000000" w:rsidRPr="00000000" w14:paraId="00000051">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Kerkhoff, T. R. &amp; Hanson, S. L. (2014). Disability culture: An ethics perspective. In J. Uomoto (Ed.), </w:t>
      </w:r>
      <w:r w:rsidDel="00000000" w:rsidR="00000000" w:rsidRPr="00000000">
        <w:rPr>
          <w:rFonts w:ascii="Calibri" w:cs="Calibri" w:eastAsia="Calibri" w:hAnsi="Calibri"/>
          <w:i w:val="1"/>
          <w:iCs w:val="1"/>
          <w:sz w:val="22"/>
          <w:szCs w:val="22"/>
          <w:rtl w:val="0"/>
        </w:rPr>
        <w:t xml:space="preserve">Multicultural Neurorehabilitation: Clinical Principles for Rehabilitation Professionals</w:t>
      </w:r>
      <w:r w:rsidDel="00000000" w:rsidR="00000000" w:rsidRPr="00000000">
        <w:rPr>
          <w:rFonts w:ascii="Calibri" w:cs="Calibri" w:eastAsia="Calibri" w:hAnsi="Calibri"/>
          <w:sz w:val="22"/>
          <w:szCs w:val="22"/>
          <w:rtl w:val="0"/>
        </w:rPr>
        <w:t xml:space="preserve"> (pp. 169-202). Springer.</w:t>
      </w:r>
    </w:p>
    <w:p w:rsidR="00000000" w:rsidDel="00000000" w:rsidP="00000000" w:rsidRDefault="00000000" w:rsidRPr="00000000" w14:paraId="00000052">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Wright, P. W. D. &amp; Wright, P. D. (2007). Chapter 4: An overview of IDEA 2004. </w:t>
      </w:r>
      <w:r w:rsidDel="00000000" w:rsidR="00000000" w:rsidRPr="00000000">
        <w:rPr>
          <w:rFonts w:ascii="Calibri" w:cs="Calibri" w:eastAsia="Calibri" w:hAnsi="Calibri"/>
          <w:i w:val="1"/>
          <w:iCs w:val="1"/>
          <w:sz w:val="22"/>
          <w:szCs w:val="22"/>
          <w:rtl w:val="0"/>
        </w:rPr>
        <w:t xml:space="preserve">Special Education Law, 2nd Edition.</w:t>
      </w:r>
      <w:r w:rsidDel="00000000" w:rsidR="00000000" w:rsidRPr="00000000">
        <w:rPr>
          <w:rFonts w:ascii="Calibri" w:cs="Calibri" w:eastAsia="Calibri" w:hAnsi="Calibri"/>
          <w:sz w:val="22"/>
          <w:szCs w:val="22"/>
          <w:rtl w:val="0"/>
        </w:rPr>
        <w:t xml:space="preserve"> Hartfield, VA:Harbor House Law Press.</w:t>
      </w:r>
    </w:p>
    <w:p w:rsidR="00000000" w:rsidDel="00000000" w:rsidP="00000000" w:rsidRDefault="00000000" w:rsidRPr="00000000" w14:paraId="00000053">
      <w:pPr>
        <w:widowControl w:val="0"/>
        <w:ind w:left="360" w:hanging="36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4">
      <w:pPr>
        <w:widowControl w:val="0"/>
        <w:ind w:left="360" w:hanging="360"/>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Intellectual Disabilities</w:t>
      </w:r>
    </w:p>
    <w:p w:rsidR="00000000" w:rsidDel="00000000" w:rsidP="00000000" w:rsidRDefault="00000000" w:rsidRPr="00000000" w14:paraId="00000055">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Kamphaus, R. W. &amp; Walden, E. (2020). Intellectual disability. In Youngstrom, E. A., Prinstein, M. J.,</w:t>
      </w:r>
    </w:p>
    <w:p w:rsidR="00000000" w:rsidDel="00000000" w:rsidP="00000000" w:rsidRDefault="00000000" w:rsidRPr="00000000" w14:paraId="00000056">
      <w:pPr>
        <w:widowControl w:val="0"/>
        <w:ind w:left="720" w:hanging="360"/>
        <w:rPr>
          <w:rFonts w:ascii="Calibri" w:cs="Calibri" w:eastAsia="Calibri" w:hAnsi="Calibri"/>
          <w:sz w:val="22"/>
          <w:szCs w:val="22"/>
        </w:rPr>
      </w:pPr>
      <w:bookmarkStart w:colFirst="0" w:colLast="0" w:name="_heading=h.30j0zll" w:id="4"/>
      <w:bookmarkEnd w:id="4"/>
      <w:r w:rsidDel="00000000" w:rsidR="00000000" w:rsidRPr="00000000">
        <w:rPr>
          <w:rFonts w:ascii="Calibri" w:cs="Calibri" w:eastAsia="Calibri" w:hAnsi="Calibri"/>
          <w:sz w:val="22"/>
          <w:szCs w:val="22"/>
          <w:rtl w:val="0"/>
        </w:rPr>
        <w:tab/>
        <w:t xml:space="preserve">Mash, E. J., &amp; Barkley, R.A. </w:t>
      </w:r>
      <w:r w:rsidDel="00000000" w:rsidR="00000000" w:rsidRPr="00000000">
        <w:rPr>
          <w:rFonts w:ascii="Calibri" w:cs="Calibri" w:eastAsia="Calibri" w:hAnsi="Calibri"/>
          <w:i w:val="1"/>
          <w:iCs w:val="1"/>
          <w:sz w:val="22"/>
          <w:szCs w:val="22"/>
          <w:rtl w:val="0"/>
        </w:rPr>
        <w:t xml:space="preserve">Assessment of disorders in childhood and adolescence</w:t>
      </w:r>
      <w:r w:rsidDel="00000000" w:rsidR="00000000" w:rsidRPr="00000000">
        <w:rPr>
          <w:rFonts w:ascii="Calibri" w:cs="Calibri" w:eastAsia="Calibri" w:hAnsi="Calibri"/>
          <w:sz w:val="22"/>
          <w:szCs w:val="22"/>
          <w:rtl w:val="0"/>
        </w:rPr>
        <w:t xml:space="preserve"> (5th ed., pp. 358-373). Guilford Press.</w:t>
      </w:r>
    </w:p>
    <w:p w:rsidR="00000000" w:rsidDel="00000000" w:rsidP="00000000" w:rsidRDefault="00000000" w:rsidRPr="00000000" w14:paraId="00000057">
      <w:pPr>
        <w:widowControl w:val="0"/>
        <w:ind w:left="720" w:hanging="360"/>
        <w:rPr>
          <w:rFonts w:ascii="Calibri" w:cs="Calibri" w:eastAsia="Calibri" w:hAnsi="Calibri"/>
          <w:i w:val="1"/>
          <w:iCs w:val="1"/>
          <w:sz w:val="22"/>
          <w:szCs w:val="22"/>
        </w:rPr>
      </w:pPr>
      <w:r w:rsidDel="00000000" w:rsidR="00000000" w:rsidRPr="00000000">
        <w:rPr>
          <w:rFonts w:ascii="Calibri" w:cs="Calibri" w:eastAsia="Calibri" w:hAnsi="Calibri"/>
          <w:i w:val="1"/>
          <w:iCs w:val="1"/>
          <w:sz w:val="22"/>
          <w:szCs w:val="22"/>
          <w:rtl w:val="0"/>
        </w:rPr>
        <w:t xml:space="preserve">Kennedy-Kreiger Institute. DOI: </w:t>
      </w:r>
      <w:hyperlink r:id="rId12">
        <w:r w:rsidDel="00000000" w:rsidR="00000000" w:rsidRPr="00000000">
          <w:rPr>
            <w:rFonts w:ascii="Calibri" w:cs="Calibri" w:eastAsia="Calibri" w:hAnsi="Calibri"/>
            <w:i w:val="1"/>
            <w:iCs w:val="1"/>
            <w:color w:val="0000ff"/>
            <w:sz w:val="22"/>
            <w:szCs w:val="22"/>
            <w:u w:val="single"/>
            <w:rtl w:val="0"/>
          </w:rPr>
          <w:t xml:space="preserve">https://www.kennedykrieger.org/patient-care/conditions/genetic-metabolic-chromosomal-disorders</w:t>
        </w:r>
      </w:hyperlink>
      <w:r w:rsidDel="00000000" w:rsidR="00000000" w:rsidRPr="00000000">
        <w:rPr>
          <w:rtl w:val="0"/>
        </w:rPr>
      </w:r>
    </w:p>
    <w:p w:rsidR="00000000" w:rsidDel="00000000" w:rsidP="00000000" w:rsidRDefault="00000000" w:rsidRPr="00000000" w14:paraId="00000058">
      <w:pPr>
        <w:widowControl w:val="0"/>
        <w:ind w:left="720" w:hanging="360"/>
        <w:rPr>
          <w:rFonts w:ascii="Calibri" w:cs="Calibri" w:eastAsia="Calibri" w:hAnsi="Calibri"/>
          <w:i w:val="1"/>
          <w:iCs w:val="1"/>
          <w:sz w:val="22"/>
          <w:szCs w:val="22"/>
        </w:rPr>
      </w:pPr>
      <w:r w:rsidDel="00000000" w:rsidR="00000000" w:rsidRPr="00000000">
        <w:rPr>
          <w:rFonts w:ascii="Calibri" w:cs="Calibri" w:eastAsia="Calibri" w:hAnsi="Calibri"/>
          <w:sz w:val="22"/>
          <w:szCs w:val="22"/>
          <w:rtl w:val="0"/>
        </w:rPr>
        <w:t xml:space="preserve">Simon, T. J. (2007). Cognitive characteristics of children with genetic syndromes. </w:t>
      </w:r>
      <w:r w:rsidDel="00000000" w:rsidR="00000000" w:rsidRPr="00000000">
        <w:rPr>
          <w:rFonts w:ascii="Calibri" w:cs="Calibri" w:eastAsia="Calibri" w:hAnsi="Calibri"/>
          <w:i w:val="1"/>
          <w:iCs w:val="1"/>
          <w:sz w:val="22"/>
          <w:szCs w:val="22"/>
          <w:rtl w:val="0"/>
        </w:rPr>
        <w:t xml:space="preserve">Child and Adolescent </w:t>
      </w:r>
    </w:p>
    <w:p w:rsidR="00000000" w:rsidDel="00000000" w:rsidP="00000000" w:rsidRDefault="00000000" w:rsidRPr="00000000" w14:paraId="00000059">
      <w:pPr>
        <w:widowControl w:val="0"/>
        <w:ind w:left="720" w:hanging="360"/>
        <w:rPr>
          <w:rFonts w:ascii="Calibri" w:cs="Calibri" w:eastAsia="Calibri" w:hAnsi="Calibri"/>
          <w:sz w:val="22"/>
          <w:szCs w:val="22"/>
        </w:rPr>
      </w:pPr>
      <w:r w:rsidDel="00000000" w:rsidR="00000000" w:rsidRPr="00000000">
        <w:rPr>
          <w:rFonts w:ascii="Calibri" w:cs="Calibri" w:eastAsia="Calibri" w:hAnsi="Calibri"/>
          <w:i w:val="1"/>
          <w:iCs w:val="1"/>
          <w:sz w:val="22"/>
          <w:szCs w:val="22"/>
          <w:rtl w:val="0"/>
        </w:rPr>
        <w:tab/>
        <w:t xml:space="preserve">Psychiatric Clinics of North America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16</w:t>
      </w:r>
      <w:r w:rsidDel="00000000" w:rsidR="00000000" w:rsidRPr="00000000">
        <w:rPr>
          <w:rFonts w:ascii="Calibri" w:cs="Calibri" w:eastAsia="Calibri" w:hAnsi="Calibri"/>
          <w:sz w:val="22"/>
          <w:szCs w:val="22"/>
          <w:rtl w:val="0"/>
        </w:rPr>
        <w:t xml:space="preserve">(3), 599-616.</w:t>
      </w:r>
    </w:p>
    <w:p w:rsidR="00000000" w:rsidDel="00000000" w:rsidP="00000000" w:rsidRDefault="00000000" w:rsidRPr="00000000" w14:paraId="0000005A">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Sue, D. W., Sue, D., Neville, H. A., &amp; Smith, L. (2019) Counseling individuals with disabilities. In D. Sue, D. Sue,   H. Neville, and L. Smith (Eds.), </w:t>
      </w:r>
      <w:r w:rsidDel="00000000" w:rsidR="00000000" w:rsidRPr="00000000">
        <w:rPr>
          <w:rFonts w:ascii="Calibri" w:cs="Calibri" w:eastAsia="Calibri" w:hAnsi="Calibri"/>
          <w:i w:val="1"/>
          <w:iCs w:val="1"/>
          <w:sz w:val="22"/>
          <w:szCs w:val="22"/>
          <w:rtl w:val="0"/>
        </w:rPr>
        <w:t xml:space="preserve">Counseling the culturally diverse: Theory and practice</w:t>
      </w:r>
      <w:r w:rsidDel="00000000" w:rsidR="00000000" w:rsidRPr="00000000">
        <w:rPr>
          <w:rFonts w:ascii="Calibri" w:cs="Calibri" w:eastAsia="Calibri" w:hAnsi="Calibri"/>
          <w:sz w:val="22"/>
          <w:szCs w:val="22"/>
          <w:rtl w:val="0"/>
        </w:rPr>
        <w:t xml:space="preserve"> (8</w:t>
      </w:r>
      <w:r w:rsidDel="00000000" w:rsidR="00000000" w:rsidRPr="00000000">
        <w:rPr>
          <w:rFonts w:ascii="Calibri" w:cs="Calibri" w:eastAsia="Calibri" w:hAnsi="Calibri"/>
          <w:sz w:val="22"/>
          <w:szCs w:val="22"/>
          <w:vertAlign w:val="superscript"/>
          <w:rtl w:val="0"/>
        </w:rPr>
        <w:t xml:space="preserve">th</w:t>
      </w:r>
      <w:r w:rsidDel="00000000" w:rsidR="00000000" w:rsidRPr="00000000">
        <w:rPr>
          <w:rFonts w:ascii="Calibri" w:cs="Calibri" w:eastAsia="Calibri" w:hAnsi="Calibri"/>
          <w:sz w:val="22"/>
          <w:szCs w:val="22"/>
          <w:rtl w:val="0"/>
        </w:rPr>
        <w:t xml:space="preserve"> ed., pp. 425-440). Wiley.</w:t>
      </w:r>
    </w:p>
    <w:p w:rsidR="00000000" w:rsidDel="00000000" w:rsidP="00000000" w:rsidRDefault="00000000" w:rsidRPr="00000000" w14:paraId="0000005B">
      <w:pPr>
        <w:widowControl w:val="0"/>
        <w:ind w:left="720" w:hanging="36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C">
      <w:pPr>
        <w:widowControl w:val="0"/>
        <w:ind w:left="720" w:hanging="36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D">
      <w:pPr>
        <w:widowControl w:val="0"/>
        <w:ind w:left="720" w:hanging="36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E">
      <w:pPr>
        <w:widowControl w:val="0"/>
        <w:ind w:left="720" w:hanging="36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F">
      <w:pPr>
        <w:widowControl w:val="0"/>
        <w:ind w:left="360" w:hanging="360"/>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Blind </w:t>
      </w:r>
    </w:p>
    <w:p w:rsidR="00000000" w:rsidDel="00000000" w:rsidP="00000000" w:rsidRDefault="00000000" w:rsidRPr="00000000" w14:paraId="00000060">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Cassar, C. &amp; Lucchese, F. (2016). Psychometric test for blind adults and children: Critical issues and perspectives. </w:t>
      </w:r>
      <w:r w:rsidDel="00000000" w:rsidR="00000000" w:rsidRPr="00000000">
        <w:rPr>
          <w:rFonts w:ascii="Calibri" w:cs="Calibri" w:eastAsia="Calibri" w:hAnsi="Calibri"/>
          <w:i w:val="1"/>
          <w:iCs w:val="1"/>
          <w:sz w:val="22"/>
          <w:szCs w:val="22"/>
          <w:rtl w:val="0"/>
        </w:rPr>
        <w:t xml:space="preserve">International Journal of Developmental and Educational Psychology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2</w:t>
      </w:r>
      <w:r w:rsidDel="00000000" w:rsidR="00000000" w:rsidRPr="00000000">
        <w:rPr>
          <w:rFonts w:ascii="Calibri" w:cs="Calibri" w:eastAsia="Calibri" w:hAnsi="Calibri"/>
          <w:sz w:val="22"/>
          <w:szCs w:val="22"/>
          <w:rtl w:val="0"/>
        </w:rPr>
        <w:t xml:space="preserve">, 109-116.</w:t>
      </w:r>
    </w:p>
    <w:p w:rsidR="00000000" w:rsidDel="00000000" w:rsidP="00000000" w:rsidRDefault="00000000" w:rsidRPr="00000000" w14:paraId="00000061">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Mazella, A., Albaret, J., &amp; Picard, D. (2014). Haptic tests for use with children and adults with visual impairments: A literature review. </w:t>
      </w:r>
      <w:r w:rsidDel="00000000" w:rsidR="00000000" w:rsidRPr="00000000">
        <w:rPr>
          <w:rFonts w:ascii="Calibri" w:cs="Calibri" w:eastAsia="Calibri" w:hAnsi="Calibri"/>
          <w:i w:val="1"/>
          <w:iCs w:val="1"/>
          <w:sz w:val="22"/>
          <w:szCs w:val="22"/>
          <w:rtl w:val="0"/>
        </w:rPr>
        <w:t xml:space="preserve">Journal of Visual Impairment and Blindness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108</w:t>
      </w:r>
      <w:r w:rsidDel="00000000" w:rsidR="00000000" w:rsidRPr="00000000">
        <w:rPr>
          <w:rFonts w:ascii="Calibri" w:cs="Calibri" w:eastAsia="Calibri" w:hAnsi="Calibri"/>
          <w:sz w:val="22"/>
          <w:szCs w:val="22"/>
          <w:rtl w:val="0"/>
        </w:rPr>
        <w:t xml:space="preserve">(3), 227-237.</w:t>
      </w:r>
    </w:p>
    <w:p w:rsidR="00000000" w:rsidDel="00000000" w:rsidP="00000000" w:rsidRDefault="00000000" w:rsidRPr="00000000" w14:paraId="00000062">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Silverman, A. M. &amp; Bell, E. C. (2018). The association between braille reading history and well-being for blind adults. </w:t>
      </w:r>
      <w:r w:rsidDel="00000000" w:rsidR="00000000" w:rsidRPr="00000000">
        <w:rPr>
          <w:rFonts w:ascii="Calibri" w:cs="Calibri" w:eastAsia="Calibri" w:hAnsi="Calibri"/>
          <w:i w:val="1"/>
          <w:iCs w:val="1"/>
          <w:sz w:val="22"/>
          <w:szCs w:val="22"/>
          <w:rtl w:val="0"/>
        </w:rPr>
        <w:t xml:space="preserve">Journal of Blindness Innovation Research</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8</w:t>
      </w:r>
      <w:r w:rsidDel="00000000" w:rsidR="00000000" w:rsidRPr="00000000">
        <w:rPr>
          <w:rFonts w:ascii="Calibri" w:cs="Calibri" w:eastAsia="Calibri" w:hAnsi="Calibri"/>
          <w:sz w:val="22"/>
          <w:szCs w:val="22"/>
          <w:rtl w:val="0"/>
        </w:rPr>
        <w:t xml:space="preserve">(1).</w:t>
      </w:r>
    </w:p>
    <w:p w:rsidR="00000000" w:rsidDel="00000000" w:rsidP="00000000" w:rsidRDefault="00000000" w:rsidRPr="00000000" w14:paraId="00000063">
      <w:pPr>
        <w:widowControl w:val="0"/>
        <w:ind w:left="720" w:hanging="36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4">
      <w:pPr>
        <w:widowControl w:val="0"/>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Deaf or Hard of Hearing</w:t>
      </w:r>
    </w:p>
    <w:p w:rsidR="00000000" w:rsidDel="00000000" w:rsidP="00000000" w:rsidRDefault="00000000" w:rsidRPr="00000000" w14:paraId="00000065">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Crump, C. J. &amp; Hamerdinger, S. H. (2017). Understanding etiology of hearing loss as a contributor to language dysfluency and its impact on assessment and treatment of people who are deaf in mental health settings. </w:t>
      </w:r>
      <w:r w:rsidDel="00000000" w:rsidR="00000000" w:rsidRPr="00000000">
        <w:rPr>
          <w:rFonts w:ascii="Calibri" w:cs="Calibri" w:eastAsia="Calibri" w:hAnsi="Calibri"/>
          <w:i w:val="1"/>
          <w:iCs w:val="1"/>
          <w:sz w:val="22"/>
          <w:szCs w:val="22"/>
          <w:rtl w:val="0"/>
        </w:rPr>
        <w:t xml:space="preserve">Community Mental Health Journal</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53</w:t>
      </w:r>
      <w:r w:rsidDel="00000000" w:rsidR="00000000" w:rsidRPr="00000000">
        <w:rPr>
          <w:rFonts w:ascii="Calibri" w:cs="Calibri" w:eastAsia="Calibri" w:hAnsi="Calibri"/>
          <w:sz w:val="22"/>
          <w:szCs w:val="22"/>
          <w:rtl w:val="0"/>
        </w:rPr>
        <w:t xml:space="preserve">, 922-928.</w:t>
      </w:r>
    </w:p>
    <w:p w:rsidR="00000000" w:rsidDel="00000000" w:rsidP="00000000" w:rsidRDefault="00000000" w:rsidRPr="00000000" w14:paraId="00000066">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Pollard, R. Q. (1996). Professional psychology of deaf people. </w:t>
      </w:r>
      <w:r w:rsidDel="00000000" w:rsidR="00000000" w:rsidRPr="00000000">
        <w:rPr>
          <w:rFonts w:ascii="Calibri" w:cs="Calibri" w:eastAsia="Calibri" w:hAnsi="Calibri"/>
          <w:i w:val="1"/>
          <w:iCs w:val="1"/>
          <w:sz w:val="22"/>
          <w:szCs w:val="22"/>
          <w:rtl w:val="0"/>
        </w:rPr>
        <w:t xml:space="preserve">American Psychologist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51</w:t>
      </w:r>
      <w:r w:rsidDel="00000000" w:rsidR="00000000" w:rsidRPr="00000000">
        <w:rPr>
          <w:rFonts w:ascii="Calibri" w:cs="Calibri" w:eastAsia="Calibri" w:hAnsi="Calibri"/>
          <w:sz w:val="22"/>
          <w:szCs w:val="22"/>
          <w:rtl w:val="0"/>
        </w:rPr>
        <w:t xml:space="preserve">(4), 389-396.</w:t>
      </w:r>
    </w:p>
    <w:p w:rsidR="00000000" w:rsidDel="00000000" w:rsidP="00000000" w:rsidRDefault="00000000" w:rsidRPr="00000000" w14:paraId="00000067">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Sattler, J. M., Hardy-Braz, S. T., &amp; Willis, J. O. (2006). Hearing impairments. In J. Sattler &amp; R. D. Hoge (Eds.) </w:t>
      </w:r>
      <w:r w:rsidDel="00000000" w:rsidR="00000000" w:rsidRPr="00000000">
        <w:rPr>
          <w:rFonts w:ascii="Calibri" w:cs="Calibri" w:eastAsia="Calibri" w:hAnsi="Calibri"/>
          <w:i w:val="1"/>
          <w:iCs w:val="1"/>
          <w:sz w:val="22"/>
          <w:szCs w:val="22"/>
          <w:rtl w:val="0"/>
        </w:rPr>
        <w:t xml:space="preserve">Assessment of Children: Behavioral, Social, and Clinical Foundations</w:t>
      </w:r>
      <w:r w:rsidDel="00000000" w:rsidR="00000000" w:rsidRPr="00000000">
        <w:rPr>
          <w:rFonts w:ascii="Calibri" w:cs="Calibri" w:eastAsia="Calibri" w:hAnsi="Calibri"/>
          <w:sz w:val="22"/>
          <w:szCs w:val="22"/>
          <w:rtl w:val="0"/>
        </w:rPr>
        <w:t xml:space="preserve"> (5th ed.). Jerome M. Sattler.</w:t>
      </w:r>
    </w:p>
    <w:p w:rsidR="00000000" w:rsidDel="00000000" w:rsidP="00000000" w:rsidRDefault="00000000" w:rsidRPr="00000000" w14:paraId="00000068">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Wilson, J. A. &amp; Schild, S. (2014). Provision of mental health care services to deaf individuals using telehealth. </w:t>
      </w:r>
      <w:r w:rsidDel="00000000" w:rsidR="00000000" w:rsidRPr="00000000">
        <w:rPr>
          <w:rFonts w:ascii="Calibri" w:cs="Calibri" w:eastAsia="Calibri" w:hAnsi="Calibri"/>
          <w:i w:val="1"/>
          <w:iCs w:val="1"/>
          <w:sz w:val="22"/>
          <w:szCs w:val="22"/>
          <w:rtl w:val="0"/>
        </w:rPr>
        <w:t xml:space="preserve">Professional Psychology: Research and Practice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45</w:t>
      </w:r>
      <w:r w:rsidDel="00000000" w:rsidR="00000000" w:rsidRPr="00000000">
        <w:rPr>
          <w:rFonts w:ascii="Calibri" w:cs="Calibri" w:eastAsia="Calibri" w:hAnsi="Calibri"/>
          <w:sz w:val="22"/>
          <w:szCs w:val="22"/>
          <w:rtl w:val="0"/>
        </w:rPr>
        <w:t xml:space="preserve">(5), 324-331.</w:t>
      </w:r>
    </w:p>
    <w:p w:rsidR="00000000" w:rsidDel="00000000" w:rsidP="00000000" w:rsidRDefault="00000000" w:rsidRPr="00000000" w14:paraId="00000069">
      <w:pPr>
        <w:widowControl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A">
      <w:pPr>
        <w:widowControl w:val="0"/>
        <w:ind w:left="360" w:hanging="360"/>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Deaf/Blind</w:t>
      </w:r>
    </w:p>
    <w:p w:rsidR="00000000" w:rsidDel="00000000" w:rsidP="00000000" w:rsidRDefault="00000000" w:rsidRPr="00000000" w14:paraId="0000006B">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Dammeyer, J. (2011). Mental and behavioral disorders among people with congenital deaf-blindness. </w:t>
      </w:r>
      <w:r w:rsidDel="00000000" w:rsidR="00000000" w:rsidRPr="00000000">
        <w:rPr>
          <w:rFonts w:ascii="Calibri" w:cs="Calibri" w:eastAsia="Calibri" w:hAnsi="Calibri"/>
          <w:i w:val="1"/>
          <w:iCs w:val="1"/>
          <w:sz w:val="22"/>
          <w:szCs w:val="22"/>
          <w:rtl w:val="0"/>
        </w:rPr>
        <w:t xml:space="preserve">Research in Developmental Disabilities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32</w:t>
      </w:r>
      <w:r w:rsidDel="00000000" w:rsidR="00000000" w:rsidRPr="00000000">
        <w:rPr>
          <w:rFonts w:ascii="Calibri" w:cs="Calibri" w:eastAsia="Calibri" w:hAnsi="Calibri"/>
          <w:sz w:val="22"/>
          <w:szCs w:val="22"/>
          <w:rtl w:val="0"/>
        </w:rPr>
        <w:t xml:space="preserve">, 571-575.</w:t>
      </w:r>
    </w:p>
    <w:p w:rsidR="00000000" w:rsidDel="00000000" w:rsidP="00000000" w:rsidRDefault="00000000" w:rsidRPr="00000000" w14:paraId="0000006C">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Fernández-Valderas, C, Macias-Seda, J, &amp; Gil-Garcia, E. (2017). Experiences of deaf-blind people about health care. </w:t>
      </w:r>
      <w:r w:rsidDel="00000000" w:rsidR="00000000" w:rsidRPr="00000000">
        <w:rPr>
          <w:rFonts w:ascii="Calibri" w:cs="Calibri" w:eastAsia="Calibri" w:hAnsi="Calibri"/>
          <w:i w:val="1"/>
          <w:iCs w:val="1"/>
          <w:sz w:val="22"/>
          <w:szCs w:val="22"/>
          <w:rtl w:val="0"/>
        </w:rPr>
        <w:t xml:space="preserve">Enfermeria Clinica</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27</w:t>
      </w:r>
      <w:r w:rsidDel="00000000" w:rsidR="00000000" w:rsidRPr="00000000">
        <w:rPr>
          <w:rFonts w:ascii="Calibri" w:cs="Calibri" w:eastAsia="Calibri" w:hAnsi="Calibri"/>
          <w:sz w:val="22"/>
          <w:szCs w:val="22"/>
          <w:rtl w:val="0"/>
        </w:rPr>
        <w:t xml:space="preserve">, 375-378.</w:t>
      </w:r>
    </w:p>
    <w:p w:rsidR="00000000" w:rsidDel="00000000" w:rsidP="00000000" w:rsidRDefault="00000000" w:rsidRPr="00000000" w14:paraId="0000006D">
      <w:pPr>
        <w:widowControl w:val="0"/>
        <w:ind w:left="360" w:hanging="360"/>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Autism Spectrum Disorder</w:t>
      </w:r>
    </w:p>
    <w:p w:rsidR="00000000" w:rsidDel="00000000" w:rsidP="00000000" w:rsidRDefault="00000000" w:rsidRPr="00000000" w14:paraId="0000006E">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Koegel, R. L., Koegel, L. K., Vernon, T. W., &amp; Brookman-Frazee, L. I. (2017). Pivotal response treatment for children with Autism Spectrum Disorder. In J. Weisz &amp; A. Kazdin (Eds.), </w:t>
      </w:r>
      <w:r w:rsidDel="00000000" w:rsidR="00000000" w:rsidRPr="00000000">
        <w:rPr>
          <w:rFonts w:ascii="Calibri" w:cs="Calibri" w:eastAsia="Calibri" w:hAnsi="Calibri"/>
          <w:i w:val="1"/>
          <w:iCs w:val="1"/>
          <w:sz w:val="22"/>
          <w:szCs w:val="22"/>
          <w:rtl w:val="0"/>
        </w:rPr>
        <w:t xml:space="preserve">Evidence-based psychotherapies for children and adolescents </w:t>
      </w:r>
      <w:r w:rsidDel="00000000" w:rsidR="00000000" w:rsidRPr="00000000">
        <w:rPr>
          <w:rFonts w:ascii="Calibri" w:cs="Calibri" w:eastAsia="Calibri" w:hAnsi="Calibri"/>
          <w:sz w:val="22"/>
          <w:szCs w:val="22"/>
          <w:rtl w:val="0"/>
        </w:rPr>
        <w:t xml:space="preserve">(3</w:t>
      </w:r>
      <w:r w:rsidDel="00000000" w:rsidR="00000000" w:rsidRPr="00000000">
        <w:rPr>
          <w:rFonts w:ascii="Calibri" w:cs="Calibri" w:eastAsia="Calibri" w:hAnsi="Calibri"/>
          <w:sz w:val="22"/>
          <w:szCs w:val="22"/>
          <w:vertAlign w:val="superscript"/>
          <w:rtl w:val="0"/>
        </w:rPr>
        <w:t xml:space="preserve">rd</w:t>
      </w:r>
      <w:r w:rsidDel="00000000" w:rsidR="00000000" w:rsidRPr="00000000">
        <w:rPr>
          <w:rFonts w:ascii="Calibri" w:cs="Calibri" w:eastAsia="Calibri" w:hAnsi="Calibri"/>
          <w:sz w:val="22"/>
          <w:szCs w:val="22"/>
          <w:rtl w:val="0"/>
        </w:rPr>
        <w:t xml:space="preserve"> ed., pp.290-307). Guilford.</w:t>
      </w:r>
    </w:p>
    <w:p w:rsidR="00000000" w:rsidDel="00000000" w:rsidP="00000000" w:rsidRDefault="00000000" w:rsidRPr="00000000" w14:paraId="0000006F">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Sheridan, E. &amp; Lord, C. (2020) Autism Spectrum Disorders. In Youngstrom, E. A., Prinstein, M. J.,</w:t>
      </w:r>
    </w:p>
    <w:p w:rsidR="00000000" w:rsidDel="00000000" w:rsidP="00000000" w:rsidRDefault="00000000" w:rsidRPr="00000000" w14:paraId="00000070">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Mash, E. J., &amp; Barkley, R.A. </w:t>
      </w:r>
      <w:r w:rsidDel="00000000" w:rsidR="00000000" w:rsidRPr="00000000">
        <w:rPr>
          <w:rFonts w:ascii="Calibri" w:cs="Calibri" w:eastAsia="Calibri" w:hAnsi="Calibri"/>
          <w:i w:val="1"/>
          <w:iCs w:val="1"/>
          <w:sz w:val="22"/>
          <w:szCs w:val="22"/>
          <w:rtl w:val="0"/>
        </w:rPr>
        <w:t xml:space="preserve">Assessment of disorders in childhood and adolescence</w:t>
      </w:r>
      <w:r w:rsidDel="00000000" w:rsidR="00000000" w:rsidRPr="00000000">
        <w:rPr>
          <w:rFonts w:ascii="Calibri" w:cs="Calibri" w:eastAsia="Calibri" w:hAnsi="Calibri"/>
          <w:sz w:val="22"/>
          <w:szCs w:val="22"/>
          <w:rtl w:val="0"/>
        </w:rPr>
        <w:t xml:space="preserve"> (5th ed., pp. 327-357). Guilford.</w:t>
      </w:r>
    </w:p>
    <w:p w:rsidR="00000000" w:rsidDel="00000000" w:rsidP="00000000" w:rsidRDefault="00000000" w:rsidRPr="00000000" w14:paraId="00000071">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Davlantis, K. S., Dawson, G., and Rogers, S. J. (2017). In J. Weisz &amp; A. Kazdin (Eds.), </w:t>
      </w:r>
      <w:r w:rsidDel="00000000" w:rsidR="00000000" w:rsidRPr="00000000">
        <w:rPr>
          <w:rFonts w:ascii="Calibri" w:cs="Calibri" w:eastAsia="Calibri" w:hAnsi="Calibri"/>
          <w:i w:val="1"/>
          <w:iCs w:val="1"/>
          <w:sz w:val="22"/>
          <w:szCs w:val="22"/>
          <w:rtl w:val="0"/>
        </w:rPr>
        <w:t xml:space="preserve">Evidence-based psychotherapies for children and adolescents </w:t>
      </w:r>
      <w:r w:rsidDel="00000000" w:rsidR="00000000" w:rsidRPr="00000000">
        <w:rPr>
          <w:rFonts w:ascii="Calibri" w:cs="Calibri" w:eastAsia="Calibri" w:hAnsi="Calibri"/>
          <w:sz w:val="22"/>
          <w:szCs w:val="22"/>
          <w:rtl w:val="0"/>
        </w:rPr>
        <w:t xml:space="preserve">(3</w:t>
      </w:r>
      <w:r w:rsidDel="00000000" w:rsidR="00000000" w:rsidRPr="00000000">
        <w:rPr>
          <w:rFonts w:ascii="Calibri" w:cs="Calibri" w:eastAsia="Calibri" w:hAnsi="Calibri"/>
          <w:sz w:val="22"/>
          <w:szCs w:val="22"/>
          <w:vertAlign w:val="superscript"/>
          <w:rtl w:val="0"/>
        </w:rPr>
        <w:t xml:space="preserve">rd</w:t>
      </w:r>
      <w:r w:rsidDel="00000000" w:rsidR="00000000" w:rsidRPr="00000000">
        <w:rPr>
          <w:rFonts w:ascii="Calibri" w:cs="Calibri" w:eastAsia="Calibri" w:hAnsi="Calibri"/>
          <w:sz w:val="22"/>
          <w:szCs w:val="22"/>
          <w:rtl w:val="0"/>
        </w:rPr>
        <w:t xml:space="preserve"> ed., pp.272-289). Guilford.</w:t>
      </w:r>
    </w:p>
    <w:p w:rsidR="00000000" w:rsidDel="00000000" w:rsidP="00000000" w:rsidRDefault="00000000" w:rsidRPr="00000000" w14:paraId="00000072">
      <w:pPr>
        <w:widowControl w:val="0"/>
        <w:ind w:left="720" w:hanging="36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3">
      <w:pPr>
        <w:widowControl w:val="0"/>
        <w:ind w:left="360" w:hanging="360"/>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LD (and ADHD)</w:t>
      </w:r>
    </w:p>
    <w:p w:rsidR="00000000" w:rsidDel="00000000" w:rsidP="00000000" w:rsidRDefault="00000000" w:rsidRPr="00000000" w14:paraId="00000074">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Biswas, A. B. &amp; Furniss, F. G. (2009). Life events and mental illness in people with learning disabilities. </w:t>
      </w:r>
      <w:r w:rsidDel="00000000" w:rsidR="00000000" w:rsidRPr="00000000">
        <w:rPr>
          <w:rFonts w:ascii="Calibri" w:cs="Calibri" w:eastAsia="Calibri" w:hAnsi="Calibri"/>
          <w:i w:val="1"/>
          <w:iCs w:val="1"/>
          <w:sz w:val="22"/>
          <w:szCs w:val="22"/>
          <w:rtl w:val="0"/>
        </w:rPr>
        <w:t xml:space="preserve">Psychiatry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8</w:t>
      </w:r>
      <w:r w:rsidDel="00000000" w:rsidR="00000000" w:rsidRPr="00000000">
        <w:rPr>
          <w:rFonts w:ascii="Calibri" w:cs="Calibri" w:eastAsia="Calibri" w:hAnsi="Calibri"/>
          <w:sz w:val="22"/>
          <w:szCs w:val="22"/>
          <w:rtl w:val="0"/>
        </w:rPr>
        <w:t xml:space="preserve">(11), 445-447.</w:t>
      </w:r>
    </w:p>
    <w:p w:rsidR="00000000" w:rsidDel="00000000" w:rsidP="00000000" w:rsidRDefault="00000000" w:rsidRPr="00000000" w14:paraId="00000075">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McGill, R. J., Styck, K. M., &amp; Dombrowski, S. C. (2020). Learning disabilities. In Youngstrom, E. A., Prinstein, M. J., Mash, E. J., &amp; Barkley, R.A. (Eds.), </w:t>
      </w:r>
      <w:r w:rsidDel="00000000" w:rsidR="00000000" w:rsidRPr="00000000">
        <w:rPr>
          <w:rFonts w:ascii="Calibri" w:cs="Calibri" w:eastAsia="Calibri" w:hAnsi="Calibri"/>
          <w:i w:val="1"/>
          <w:iCs w:val="1"/>
          <w:sz w:val="22"/>
          <w:szCs w:val="22"/>
          <w:rtl w:val="0"/>
        </w:rPr>
        <w:t xml:space="preserve">Assessment of disorders in childhood and adolescence</w:t>
      </w:r>
      <w:r w:rsidDel="00000000" w:rsidR="00000000" w:rsidRPr="00000000">
        <w:rPr>
          <w:rFonts w:ascii="Calibri" w:cs="Calibri" w:eastAsia="Calibri" w:hAnsi="Calibri"/>
          <w:sz w:val="22"/>
          <w:szCs w:val="22"/>
          <w:rtl w:val="0"/>
        </w:rPr>
        <w:t xml:space="preserve"> (5th ed., pp. 374-412). Guilford Press.</w:t>
      </w:r>
    </w:p>
    <w:p w:rsidR="00000000" w:rsidDel="00000000" w:rsidP="00000000" w:rsidRDefault="00000000" w:rsidRPr="00000000" w14:paraId="00000076">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Zablonsky, B. &amp; Alford, J. M. (2020). Racial and ethnic differences in the prevalence of attention-deficit hyperactivity disorder and learning disabilities among US children aged 3-17 years. </w:t>
      </w:r>
      <w:r w:rsidDel="00000000" w:rsidR="00000000" w:rsidRPr="00000000">
        <w:rPr>
          <w:rFonts w:ascii="Calibri" w:cs="Calibri" w:eastAsia="Calibri" w:hAnsi="Calibri"/>
          <w:i w:val="1"/>
          <w:iCs w:val="1"/>
          <w:sz w:val="22"/>
          <w:szCs w:val="22"/>
          <w:rtl w:val="0"/>
        </w:rPr>
        <w:t xml:space="preserve">NCH Data Brief,    358,</w:t>
      </w:r>
      <w:r w:rsidDel="00000000" w:rsidR="00000000" w:rsidRPr="00000000">
        <w:rPr>
          <w:rFonts w:ascii="Calibri" w:cs="Calibri" w:eastAsia="Calibri" w:hAnsi="Calibri"/>
          <w:sz w:val="22"/>
          <w:szCs w:val="22"/>
          <w:rtl w:val="0"/>
        </w:rPr>
        <w:t xml:space="preserve"> 1-7.</w:t>
      </w:r>
    </w:p>
    <w:p w:rsidR="00000000" w:rsidDel="00000000" w:rsidP="00000000" w:rsidRDefault="00000000" w:rsidRPr="00000000" w14:paraId="00000077">
      <w:pPr>
        <w:widowControl w:val="0"/>
        <w:ind w:left="720" w:hanging="36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8">
      <w:pPr>
        <w:widowControl w:val="0"/>
        <w:ind w:left="360" w:hanging="360"/>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LGBTQ+</w:t>
      </w:r>
    </w:p>
    <w:p w:rsidR="00000000" w:rsidDel="00000000" w:rsidP="00000000" w:rsidRDefault="00000000" w:rsidRPr="00000000" w14:paraId="00000079">
      <w:pPr>
        <w:ind w:left="720" w:hanging="360"/>
        <w:rPr>
          <w:rFonts w:ascii="Calibri" w:cs="Calibri" w:eastAsia="Calibri" w:hAnsi="Calibri"/>
          <w:color w:val="555555"/>
          <w:sz w:val="22"/>
          <w:szCs w:val="22"/>
        </w:rPr>
      </w:pPr>
      <w:r w:rsidDel="00000000" w:rsidR="00000000" w:rsidRPr="00000000">
        <w:rPr>
          <w:rFonts w:ascii="Calibri" w:cs="Calibri" w:eastAsia="Calibri" w:hAnsi="Calibri"/>
          <w:sz w:val="22"/>
          <w:szCs w:val="22"/>
          <w:rtl w:val="0"/>
        </w:rPr>
        <w:t xml:space="preserve">Moe, J. L., Finnerty, P., Sparkman, N. M., &amp; Yates, C. (2015). Initial assessment and screening with LGBTQ clients: A critical perspective. </w:t>
      </w:r>
      <w:r w:rsidDel="00000000" w:rsidR="00000000" w:rsidRPr="00000000">
        <w:rPr>
          <w:rFonts w:ascii="Calibri" w:cs="Calibri" w:eastAsia="Calibri" w:hAnsi="Calibri"/>
          <w:i w:val="1"/>
          <w:iCs w:val="1"/>
          <w:sz w:val="22"/>
          <w:szCs w:val="22"/>
          <w:rtl w:val="0"/>
        </w:rPr>
        <w:t xml:space="preserve">Journal of LGBT Issues in Counseling</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9</w:t>
      </w:r>
      <w:r w:rsidDel="00000000" w:rsidR="00000000" w:rsidRPr="00000000">
        <w:rPr>
          <w:rFonts w:ascii="Calibri" w:cs="Calibri" w:eastAsia="Calibri" w:hAnsi="Calibri"/>
          <w:sz w:val="22"/>
          <w:szCs w:val="22"/>
          <w:rtl w:val="0"/>
        </w:rPr>
        <w:t xml:space="preserve">(1), 1-34. </w:t>
      </w:r>
      <w:r w:rsidDel="00000000" w:rsidR="00000000" w:rsidRPr="00000000">
        <w:rPr>
          <w:rtl w:val="0"/>
        </w:rPr>
      </w:r>
    </w:p>
    <w:p w:rsidR="00000000" w:rsidDel="00000000" w:rsidP="00000000" w:rsidRDefault="00000000" w:rsidRPr="00000000" w14:paraId="0000007A">
      <w:p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Peterson, C. H., Dalley, L. M., Dombrowski, S. C., &amp; Maier, C. (2017). A review of instruments that measure LGBTQ affirmation and discrimination constructs in adults. </w:t>
      </w:r>
      <w:r w:rsidDel="00000000" w:rsidR="00000000" w:rsidRPr="00000000">
        <w:rPr>
          <w:rFonts w:ascii="Calibri" w:cs="Calibri" w:eastAsia="Calibri" w:hAnsi="Calibri"/>
          <w:i w:val="1"/>
          <w:iCs w:val="1"/>
          <w:sz w:val="22"/>
          <w:szCs w:val="22"/>
          <w:rtl w:val="0"/>
        </w:rPr>
        <w:t xml:space="preserve">Journal of LGBT Issues in Counseling, 11</w:t>
      </w:r>
      <w:r w:rsidDel="00000000" w:rsidR="00000000" w:rsidRPr="00000000">
        <w:rPr>
          <w:rFonts w:ascii="Calibri" w:cs="Calibri" w:eastAsia="Calibri" w:hAnsi="Calibri"/>
          <w:sz w:val="22"/>
          <w:szCs w:val="22"/>
          <w:rtl w:val="0"/>
        </w:rPr>
        <w:t xml:space="preserve">(4), 230-246.</w:t>
      </w:r>
    </w:p>
    <w:p w:rsidR="00000000" w:rsidDel="00000000" w:rsidP="00000000" w:rsidRDefault="00000000" w:rsidRPr="00000000" w14:paraId="0000007B">
      <w:p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Russell, S. T. &amp; Fish, J. N. (2016). Mental health in lesbian, gay, bisexual, and transgender youth. </w:t>
      </w:r>
      <w:r w:rsidDel="00000000" w:rsidR="00000000" w:rsidRPr="00000000">
        <w:rPr>
          <w:rFonts w:ascii="Calibri" w:cs="Calibri" w:eastAsia="Calibri" w:hAnsi="Calibri"/>
          <w:i w:val="1"/>
          <w:iCs w:val="1"/>
          <w:sz w:val="22"/>
          <w:szCs w:val="22"/>
          <w:rtl w:val="0"/>
        </w:rPr>
        <w:t xml:space="preserve">Annual Review of Clinical Psychology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12</w:t>
      </w:r>
      <w:r w:rsidDel="00000000" w:rsidR="00000000" w:rsidRPr="00000000">
        <w:rPr>
          <w:rFonts w:ascii="Calibri" w:cs="Calibri" w:eastAsia="Calibri" w:hAnsi="Calibri"/>
          <w:sz w:val="22"/>
          <w:szCs w:val="22"/>
          <w:rtl w:val="0"/>
        </w:rPr>
        <w:t xml:space="preserve">, 465-487.</w:t>
      </w:r>
    </w:p>
    <w:p w:rsidR="00000000" w:rsidDel="00000000" w:rsidP="00000000" w:rsidRDefault="00000000" w:rsidRPr="00000000" w14:paraId="0000007C">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Sue, D. W., Sue, D., Neville, H. A., &amp; Smith, L. (2019) Counseling LGBTQ populations. In D. Sue, D. Sue, H. Neville, and L. Smith (Eds.), </w:t>
      </w:r>
      <w:r w:rsidDel="00000000" w:rsidR="00000000" w:rsidRPr="00000000">
        <w:rPr>
          <w:rFonts w:ascii="Calibri" w:cs="Calibri" w:eastAsia="Calibri" w:hAnsi="Calibri"/>
          <w:i w:val="1"/>
          <w:iCs w:val="1"/>
          <w:sz w:val="22"/>
          <w:szCs w:val="22"/>
          <w:rtl w:val="0"/>
        </w:rPr>
        <w:t xml:space="preserve">Counseling the Culturally Diverse: Theory and practice</w:t>
      </w:r>
      <w:r w:rsidDel="00000000" w:rsidR="00000000" w:rsidRPr="00000000">
        <w:rPr>
          <w:rFonts w:ascii="Calibri" w:cs="Calibri" w:eastAsia="Calibri" w:hAnsi="Calibri"/>
          <w:sz w:val="22"/>
          <w:szCs w:val="22"/>
          <w:rtl w:val="0"/>
        </w:rPr>
        <w:t xml:space="preserve"> (8</w:t>
      </w:r>
      <w:r w:rsidDel="00000000" w:rsidR="00000000" w:rsidRPr="00000000">
        <w:rPr>
          <w:rFonts w:ascii="Calibri" w:cs="Calibri" w:eastAsia="Calibri" w:hAnsi="Calibri"/>
          <w:sz w:val="22"/>
          <w:szCs w:val="22"/>
          <w:vertAlign w:val="superscript"/>
          <w:rtl w:val="0"/>
        </w:rPr>
        <w:t xml:space="preserve">th</w:t>
      </w:r>
      <w:r w:rsidDel="00000000" w:rsidR="00000000" w:rsidRPr="00000000">
        <w:rPr>
          <w:rFonts w:ascii="Calibri" w:cs="Calibri" w:eastAsia="Calibri" w:hAnsi="Calibri"/>
          <w:sz w:val="22"/>
          <w:szCs w:val="22"/>
          <w:rtl w:val="0"/>
        </w:rPr>
        <w:t xml:space="preserve"> ed., pp. 441-457). Wiley.</w:t>
      </w:r>
    </w:p>
    <w:p w:rsidR="00000000" w:rsidDel="00000000" w:rsidP="00000000" w:rsidRDefault="00000000" w:rsidRPr="00000000" w14:paraId="0000007D">
      <w:pPr>
        <w:widowControl w:val="0"/>
        <w:ind w:left="720" w:hanging="36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E">
      <w:pPr>
        <w:widowControl w:val="0"/>
        <w:ind w:left="360" w:hanging="360"/>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Immigrants</w:t>
      </w:r>
    </w:p>
    <w:p w:rsidR="00000000" w:rsidDel="00000000" w:rsidP="00000000" w:rsidRDefault="00000000" w:rsidRPr="00000000" w14:paraId="0000007F">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Lee, H. Y. &amp; Neese, J. A. (2020). Mental and behavioral health in immigrant populations: Assessment and interventions for culturally competent practice. In G. Hall (Ed.), </w:t>
      </w:r>
      <w:r w:rsidDel="00000000" w:rsidR="00000000" w:rsidRPr="00000000">
        <w:rPr>
          <w:rFonts w:ascii="Calibri" w:cs="Calibri" w:eastAsia="Calibri" w:hAnsi="Calibri"/>
          <w:i w:val="1"/>
          <w:iCs w:val="1"/>
          <w:sz w:val="22"/>
          <w:szCs w:val="22"/>
          <w:rtl w:val="0"/>
        </w:rPr>
        <w:t xml:space="preserve">Mental and behavioral health of immigrants in the United States: Cultural, environmental, and structural factors</w:t>
      </w:r>
      <w:r w:rsidDel="00000000" w:rsidR="00000000" w:rsidRPr="00000000">
        <w:rPr>
          <w:rFonts w:ascii="Calibri" w:cs="Calibri" w:eastAsia="Calibri" w:hAnsi="Calibri"/>
          <w:sz w:val="22"/>
          <w:szCs w:val="22"/>
          <w:rtl w:val="0"/>
        </w:rPr>
        <w:t xml:space="preserve">, pp. 315-322). Academic Press.</w:t>
      </w:r>
    </w:p>
    <w:p w:rsidR="00000000" w:rsidDel="00000000" w:rsidP="00000000" w:rsidRDefault="00000000" w:rsidRPr="00000000" w14:paraId="00000080">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Sue, D. W., Sue, D., Neville, H. A., &amp; Smith, L. (2019) Counseling immigrants and refugees. In D. Sue, D. Sue, H. Neville, and L. Smith (Eds.), </w:t>
      </w:r>
      <w:r w:rsidDel="00000000" w:rsidR="00000000" w:rsidRPr="00000000">
        <w:rPr>
          <w:rFonts w:ascii="Calibri" w:cs="Calibri" w:eastAsia="Calibri" w:hAnsi="Calibri"/>
          <w:i w:val="1"/>
          <w:iCs w:val="1"/>
          <w:sz w:val="22"/>
          <w:szCs w:val="22"/>
          <w:rtl w:val="0"/>
        </w:rPr>
        <w:t xml:space="preserve">Counseling the Culturally Diverse: Theory and practice</w:t>
      </w:r>
      <w:r w:rsidDel="00000000" w:rsidR="00000000" w:rsidRPr="00000000">
        <w:rPr>
          <w:rFonts w:ascii="Calibri" w:cs="Calibri" w:eastAsia="Calibri" w:hAnsi="Calibri"/>
          <w:sz w:val="22"/>
          <w:szCs w:val="22"/>
          <w:rtl w:val="0"/>
        </w:rPr>
        <w:t xml:space="preserve"> (8</w:t>
      </w:r>
      <w:r w:rsidDel="00000000" w:rsidR="00000000" w:rsidRPr="00000000">
        <w:rPr>
          <w:rFonts w:ascii="Calibri" w:cs="Calibri" w:eastAsia="Calibri" w:hAnsi="Calibri"/>
          <w:sz w:val="22"/>
          <w:szCs w:val="22"/>
          <w:vertAlign w:val="superscript"/>
          <w:rtl w:val="0"/>
        </w:rPr>
        <w:t xml:space="preserve">th</w:t>
      </w:r>
      <w:r w:rsidDel="00000000" w:rsidR="00000000" w:rsidRPr="00000000">
        <w:rPr>
          <w:rFonts w:ascii="Calibri" w:cs="Calibri" w:eastAsia="Calibri" w:hAnsi="Calibri"/>
          <w:sz w:val="22"/>
          <w:szCs w:val="22"/>
          <w:rtl w:val="0"/>
        </w:rPr>
        <w:t xml:space="preserve"> ed., pp. 393-409). Wiley.</w:t>
      </w:r>
    </w:p>
    <w:p w:rsidR="00000000" w:rsidDel="00000000" w:rsidP="00000000" w:rsidRDefault="00000000" w:rsidRPr="00000000" w14:paraId="00000081">
      <w:pPr>
        <w:widowControl w:val="0"/>
        <w:ind w:left="720" w:hanging="36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2">
      <w:pPr>
        <w:widowControl w:val="0"/>
        <w:ind w:left="360" w:hanging="360"/>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Traumatized children</w:t>
      </w:r>
    </w:p>
    <w:p w:rsidR="00000000" w:rsidDel="00000000" w:rsidP="00000000" w:rsidRDefault="00000000" w:rsidRPr="00000000" w14:paraId="00000083">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Bremner, J. D., Vermetten, E., &amp; Mazure, C. M. (2000). Development and preliminary psychometric properties of an instrument for the measurement of childhood trauma: The early trauma inventory. </w:t>
      </w:r>
      <w:r w:rsidDel="00000000" w:rsidR="00000000" w:rsidRPr="00000000">
        <w:rPr>
          <w:rFonts w:ascii="Calibri" w:cs="Calibri" w:eastAsia="Calibri" w:hAnsi="Calibri"/>
          <w:i w:val="1"/>
          <w:iCs w:val="1"/>
          <w:sz w:val="22"/>
          <w:szCs w:val="22"/>
          <w:rtl w:val="0"/>
        </w:rPr>
        <w:t xml:space="preserve">Depression &amp; Anxiety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12</w:t>
      </w:r>
      <w:r w:rsidDel="00000000" w:rsidR="00000000" w:rsidRPr="00000000">
        <w:rPr>
          <w:rFonts w:ascii="Calibri" w:cs="Calibri" w:eastAsia="Calibri" w:hAnsi="Calibri"/>
          <w:sz w:val="22"/>
          <w:szCs w:val="22"/>
          <w:rtl w:val="0"/>
        </w:rPr>
        <w:t xml:space="preserve">, 1-12. </w:t>
      </w:r>
    </w:p>
    <w:p w:rsidR="00000000" w:rsidDel="00000000" w:rsidP="00000000" w:rsidRDefault="00000000" w:rsidRPr="00000000" w14:paraId="00000084">
      <w:pPr>
        <w:widowControl w:val="0"/>
        <w:ind w:left="720" w:hanging="360"/>
        <w:rPr>
          <w:rFonts w:ascii="Calibri" w:cs="Calibri" w:eastAsia="Calibri" w:hAnsi="Calibri"/>
          <w:i w:val="1"/>
          <w:iCs w:val="1"/>
          <w:sz w:val="22"/>
          <w:szCs w:val="22"/>
        </w:rPr>
      </w:pPr>
      <w:r w:rsidDel="00000000" w:rsidR="00000000" w:rsidRPr="00000000">
        <w:rPr>
          <w:rFonts w:ascii="Calibri" w:cs="Calibri" w:eastAsia="Calibri" w:hAnsi="Calibri"/>
          <w:sz w:val="22"/>
          <w:szCs w:val="22"/>
          <w:rtl w:val="0"/>
        </w:rPr>
        <w:t xml:space="preserve">Cohen, J. A., Mannarino, A. P., &amp; Deblinger, E. (2010). Trauma-focused cognitive-behavioral therapy for traumatized children. In J. Weisz &amp; A. Kazdin (Eds.), </w:t>
      </w:r>
      <w:r w:rsidDel="00000000" w:rsidR="00000000" w:rsidRPr="00000000">
        <w:rPr>
          <w:rFonts w:ascii="Calibri" w:cs="Calibri" w:eastAsia="Calibri" w:hAnsi="Calibri"/>
          <w:i w:val="1"/>
          <w:iCs w:val="1"/>
          <w:sz w:val="22"/>
          <w:szCs w:val="22"/>
          <w:rtl w:val="0"/>
        </w:rPr>
        <w:t xml:space="preserve">Evidence-based psychotherapies for children and adolescents (2</w:t>
      </w:r>
      <w:r w:rsidDel="00000000" w:rsidR="00000000" w:rsidRPr="00000000">
        <w:rPr>
          <w:rFonts w:ascii="Calibri" w:cs="Calibri" w:eastAsia="Calibri" w:hAnsi="Calibri"/>
          <w:i w:val="1"/>
          <w:iCs w:val="1"/>
          <w:sz w:val="22"/>
          <w:szCs w:val="22"/>
          <w:vertAlign w:val="superscript"/>
          <w:rtl w:val="0"/>
        </w:rPr>
        <w:t xml:space="preserve">nd</w:t>
      </w:r>
      <w:r w:rsidDel="00000000" w:rsidR="00000000" w:rsidRPr="00000000">
        <w:rPr>
          <w:rFonts w:ascii="Calibri" w:cs="Calibri" w:eastAsia="Calibri" w:hAnsi="Calibri"/>
          <w:i w:val="1"/>
          <w:iCs w:val="1"/>
          <w:sz w:val="22"/>
          <w:szCs w:val="22"/>
          <w:rtl w:val="0"/>
        </w:rPr>
        <w:t xml:space="preserve"> ed., pp.295-311). Guilford.</w:t>
      </w:r>
    </w:p>
    <w:p w:rsidR="00000000" w:rsidDel="00000000" w:rsidP="00000000" w:rsidRDefault="00000000" w:rsidRPr="00000000" w14:paraId="00000085">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Grant, K., Carter, J. S., Adam, E., &amp; Jackson, Y. (2020). Life events. In Youngstrom, E. A., Prinstein, M. J.,</w:t>
      </w:r>
    </w:p>
    <w:p w:rsidR="00000000" w:rsidDel="00000000" w:rsidP="00000000" w:rsidRDefault="00000000" w:rsidRPr="00000000" w14:paraId="00000086">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Mash, E. J., &amp; Barkley, R.A. </w:t>
      </w:r>
      <w:r w:rsidDel="00000000" w:rsidR="00000000" w:rsidRPr="00000000">
        <w:rPr>
          <w:rFonts w:ascii="Calibri" w:cs="Calibri" w:eastAsia="Calibri" w:hAnsi="Calibri"/>
          <w:i w:val="1"/>
          <w:iCs w:val="1"/>
          <w:sz w:val="22"/>
          <w:szCs w:val="22"/>
          <w:rtl w:val="0"/>
        </w:rPr>
        <w:t xml:space="preserve">Assessment of disorders in childhood and adolescence</w:t>
      </w:r>
      <w:r w:rsidDel="00000000" w:rsidR="00000000" w:rsidRPr="00000000">
        <w:rPr>
          <w:rFonts w:ascii="Calibri" w:cs="Calibri" w:eastAsia="Calibri" w:hAnsi="Calibri"/>
          <w:sz w:val="22"/>
          <w:szCs w:val="22"/>
          <w:rtl w:val="0"/>
        </w:rPr>
        <w:t xml:space="preserve"> (5th ed., pp. 470). Guilford Press.</w:t>
      </w:r>
    </w:p>
    <w:p w:rsidR="00000000" w:rsidDel="00000000" w:rsidP="00000000" w:rsidRDefault="00000000" w:rsidRPr="00000000" w14:paraId="00000087">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Milojevich, H. M. &amp; Wolfe, V. V. (2020). Child maltreatment. In Youngstrom, E. A., Prinstein, M. J.,</w:t>
      </w:r>
    </w:p>
    <w:p w:rsidR="00000000" w:rsidDel="00000000" w:rsidP="00000000" w:rsidRDefault="00000000" w:rsidRPr="00000000" w14:paraId="00000088">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Mash, E. J., &amp; Barkley, R.A. </w:t>
      </w:r>
      <w:r w:rsidDel="00000000" w:rsidR="00000000" w:rsidRPr="00000000">
        <w:rPr>
          <w:rFonts w:ascii="Calibri" w:cs="Calibri" w:eastAsia="Calibri" w:hAnsi="Calibri"/>
          <w:i w:val="1"/>
          <w:iCs w:val="1"/>
          <w:sz w:val="22"/>
          <w:szCs w:val="22"/>
          <w:rtl w:val="0"/>
        </w:rPr>
        <w:t xml:space="preserve">Assessment of disorders in childhood and adolescence</w:t>
      </w:r>
      <w:r w:rsidDel="00000000" w:rsidR="00000000" w:rsidRPr="00000000">
        <w:rPr>
          <w:rFonts w:ascii="Calibri" w:cs="Calibri" w:eastAsia="Calibri" w:hAnsi="Calibri"/>
          <w:sz w:val="22"/>
          <w:szCs w:val="22"/>
          <w:rtl w:val="0"/>
        </w:rPr>
        <w:t xml:space="preserve"> (5th ed., </w:t>
        <w:tab/>
        <w:t xml:space="preserve">pp. 509-544). Guilford Press.</w:t>
      </w:r>
    </w:p>
    <w:p w:rsidR="00000000" w:rsidDel="00000000" w:rsidP="00000000" w:rsidRDefault="00000000" w:rsidRPr="00000000" w14:paraId="00000089">
      <w:pPr>
        <w:widowControl w:val="0"/>
        <w:ind w:left="720" w:hanging="36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A">
      <w:pPr>
        <w:widowControl w:val="0"/>
        <w:ind w:left="360" w:hanging="360"/>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Poverty</w:t>
      </w:r>
    </w:p>
    <w:p w:rsidR="00000000" w:rsidDel="00000000" w:rsidP="00000000" w:rsidRDefault="00000000" w:rsidRPr="00000000" w14:paraId="0000008B">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Goodman, L. A., Pugach, M., Skolnik, A., &amp; Smith, L. (2013). Poverty and mental health practice: Within and beyond the 50-minute hour. </w:t>
      </w:r>
      <w:r w:rsidDel="00000000" w:rsidR="00000000" w:rsidRPr="00000000">
        <w:rPr>
          <w:rFonts w:ascii="Calibri" w:cs="Calibri" w:eastAsia="Calibri" w:hAnsi="Calibri"/>
          <w:i w:val="1"/>
          <w:iCs w:val="1"/>
          <w:sz w:val="22"/>
          <w:szCs w:val="22"/>
          <w:rtl w:val="0"/>
        </w:rPr>
        <w:t xml:space="preserve">Journal of Clinical Psychology: In Session</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69</w:t>
      </w:r>
      <w:r w:rsidDel="00000000" w:rsidR="00000000" w:rsidRPr="00000000">
        <w:rPr>
          <w:rFonts w:ascii="Calibri" w:cs="Calibri" w:eastAsia="Calibri" w:hAnsi="Calibri"/>
          <w:sz w:val="22"/>
          <w:szCs w:val="22"/>
          <w:rtl w:val="0"/>
        </w:rPr>
        <w:t xml:space="preserve">(2), 182-190.</w:t>
      </w:r>
    </w:p>
    <w:p w:rsidR="00000000" w:rsidDel="00000000" w:rsidP="00000000" w:rsidRDefault="00000000" w:rsidRPr="00000000" w14:paraId="0000008C">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Hawkins, R. L. &amp; Kim, E. J. (2012). The socio-economic empowerment assessment: Addressing poverty and economic distress in clients. </w:t>
      </w:r>
      <w:r w:rsidDel="00000000" w:rsidR="00000000" w:rsidRPr="00000000">
        <w:rPr>
          <w:rFonts w:ascii="Calibri" w:cs="Calibri" w:eastAsia="Calibri" w:hAnsi="Calibri"/>
          <w:i w:val="1"/>
          <w:iCs w:val="1"/>
          <w:sz w:val="22"/>
          <w:szCs w:val="22"/>
          <w:rtl w:val="0"/>
        </w:rPr>
        <w:t xml:space="preserve">Clinical Social Work Journal, 40</w:t>
      </w:r>
      <w:r w:rsidDel="00000000" w:rsidR="00000000" w:rsidRPr="00000000">
        <w:rPr>
          <w:rFonts w:ascii="Calibri" w:cs="Calibri" w:eastAsia="Calibri" w:hAnsi="Calibri"/>
          <w:sz w:val="22"/>
          <w:szCs w:val="22"/>
          <w:rtl w:val="0"/>
        </w:rPr>
        <w:t xml:space="preserve">, 194-202.</w:t>
      </w:r>
    </w:p>
    <w:p w:rsidR="00000000" w:rsidDel="00000000" w:rsidP="00000000" w:rsidRDefault="00000000" w:rsidRPr="00000000" w14:paraId="0000008D">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Kim, S. &amp; Cardemil, E. (2012). Effective psychotherapy with low income clients: The importance of attending to social class. </w:t>
      </w:r>
      <w:r w:rsidDel="00000000" w:rsidR="00000000" w:rsidRPr="00000000">
        <w:rPr>
          <w:rFonts w:ascii="Calibri" w:cs="Calibri" w:eastAsia="Calibri" w:hAnsi="Calibri"/>
          <w:i w:val="1"/>
          <w:iCs w:val="1"/>
          <w:sz w:val="22"/>
          <w:szCs w:val="22"/>
          <w:rtl w:val="0"/>
        </w:rPr>
        <w:t xml:space="preserve">Journal of Contemporary Psychotherapy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42</w:t>
      </w:r>
      <w:r w:rsidDel="00000000" w:rsidR="00000000" w:rsidRPr="00000000">
        <w:rPr>
          <w:rFonts w:ascii="Calibri" w:cs="Calibri" w:eastAsia="Calibri" w:hAnsi="Calibri"/>
          <w:sz w:val="22"/>
          <w:szCs w:val="22"/>
          <w:rtl w:val="0"/>
        </w:rPr>
        <w:t xml:space="preserve">(1), 27-35.</w:t>
      </w:r>
    </w:p>
    <w:p w:rsidR="00000000" w:rsidDel="00000000" w:rsidP="00000000" w:rsidRDefault="00000000" w:rsidRPr="00000000" w14:paraId="0000008E">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Sue, D. W., Sue, D., Neville, H. A., &amp; Smith, L. (2019) Counseling individuals living in poverty. In D. Sue, D. Sue, H. Neville, and L. Smith (Eds.), </w:t>
      </w:r>
      <w:r w:rsidDel="00000000" w:rsidR="00000000" w:rsidRPr="00000000">
        <w:rPr>
          <w:rFonts w:ascii="Calibri" w:cs="Calibri" w:eastAsia="Calibri" w:hAnsi="Calibri"/>
          <w:i w:val="1"/>
          <w:iCs w:val="1"/>
          <w:sz w:val="22"/>
          <w:szCs w:val="22"/>
          <w:rtl w:val="0"/>
        </w:rPr>
        <w:t xml:space="preserve">Counseling the Culturally Diverse: Theory and practice</w:t>
      </w:r>
      <w:r w:rsidDel="00000000" w:rsidR="00000000" w:rsidRPr="00000000">
        <w:rPr>
          <w:rFonts w:ascii="Calibri" w:cs="Calibri" w:eastAsia="Calibri" w:hAnsi="Calibri"/>
          <w:sz w:val="22"/>
          <w:szCs w:val="22"/>
          <w:rtl w:val="0"/>
        </w:rPr>
        <w:t xml:space="preserve"> (8</w:t>
      </w:r>
      <w:r w:rsidDel="00000000" w:rsidR="00000000" w:rsidRPr="00000000">
        <w:rPr>
          <w:rFonts w:ascii="Calibri" w:cs="Calibri" w:eastAsia="Calibri" w:hAnsi="Calibri"/>
          <w:sz w:val="22"/>
          <w:szCs w:val="22"/>
          <w:vertAlign w:val="superscript"/>
          <w:rtl w:val="0"/>
        </w:rPr>
        <w:t xml:space="preserve">th</w:t>
      </w:r>
      <w:r w:rsidDel="00000000" w:rsidR="00000000" w:rsidRPr="00000000">
        <w:rPr>
          <w:rFonts w:ascii="Calibri" w:cs="Calibri" w:eastAsia="Calibri" w:hAnsi="Calibri"/>
          <w:sz w:val="22"/>
          <w:szCs w:val="22"/>
          <w:rtl w:val="0"/>
        </w:rPr>
        <w:t xml:space="preserve"> ed., pp. 474-487). Wiley.</w:t>
      </w:r>
    </w:p>
    <w:p w:rsidR="00000000" w:rsidDel="00000000" w:rsidP="00000000" w:rsidRDefault="00000000" w:rsidRPr="00000000" w14:paraId="0000008F">
      <w:pPr>
        <w:widowControl w:val="0"/>
        <w:ind w:left="720" w:hanging="36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0">
      <w:pPr>
        <w:widowControl w:val="0"/>
        <w:ind w:left="360" w:hanging="360"/>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Military</w:t>
      </w:r>
    </w:p>
    <w:p w:rsidR="00000000" w:rsidDel="00000000" w:rsidP="00000000" w:rsidRDefault="00000000" w:rsidRPr="00000000" w14:paraId="00000091">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Back, S. E., Killeen, T., Badour, C. L., Flanagan, J. C., Allan, N. P., Santa Ana, E., Lozano, B., Korte, K. J., Foa, E. B., &amp; Brady, K. T. (2019). Concurrent treatment of substance use disorders and PTSD using prolonged exposure: A randomized clinical trial in military veterans. </w:t>
      </w:r>
      <w:r w:rsidDel="00000000" w:rsidR="00000000" w:rsidRPr="00000000">
        <w:rPr>
          <w:rFonts w:ascii="Calibri" w:cs="Calibri" w:eastAsia="Calibri" w:hAnsi="Calibri"/>
          <w:i w:val="1"/>
          <w:iCs w:val="1"/>
          <w:sz w:val="22"/>
          <w:szCs w:val="22"/>
          <w:rtl w:val="0"/>
        </w:rPr>
        <w:t xml:space="preserve">Addiction Behavior</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90</w:t>
      </w:r>
      <w:r w:rsidDel="00000000" w:rsidR="00000000" w:rsidRPr="00000000">
        <w:rPr>
          <w:rFonts w:ascii="Calibri" w:cs="Calibri" w:eastAsia="Calibri" w:hAnsi="Calibri"/>
          <w:sz w:val="22"/>
          <w:szCs w:val="22"/>
          <w:rtl w:val="0"/>
        </w:rPr>
        <w:t xml:space="preserve">, 369-377.</w:t>
      </w:r>
    </w:p>
    <w:p w:rsidR="00000000" w:rsidDel="00000000" w:rsidP="00000000" w:rsidRDefault="00000000" w:rsidRPr="00000000" w14:paraId="00000092">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Elbogen, E. B., Wagner, H. R., Kimbrel, N. A., Brancu, M., Naylor, J., Graziano, R., Crawford, E., &amp; VA Mid-Atlantic MIRECC Workgroup (2018). Risk factors for concurrent suicide ideation and violent impulses in military veterans, </w:t>
      </w:r>
      <w:r w:rsidDel="00000000" w:rsidR="00000000" w:rsidRPr="00000000">
        <w:rPr>
          <w:rFonts w:ascii="Calibri" w:cs="Calibri" w:eastAsia="Calibri" w:hAnsi="Calibri"/>
          <w:i w:val="1"/>
          <w:iCs w:val="1"/>
          <w:sz w:val="22"/>
          <w:szCs w:val="22"/>
          <w:rtl w:val="0"/>
        </w:rPr>
        <w:t xml:space="preserve">Psychological Assessment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30</w:t>
      </w:r>
      <w:r w:rsidDel="00000000" w:rsidR="00000000" w:rsidRPr="00000000">
        <w:rPr>
          <w:rFonts w:ascii="Calibri" w:cs="Calibri" w:eastAsia="Calibri" w:hAnsi="Calibri"/>
          <w:sz w:val="22"/>
          <w:szCs w:val="22"/>
          <w:rtl w:val="0"/>
        </w:rPr>
        <w:t xml:space="preserve">(4), 425-435.</w:t>
      </w:r>
    </w:p>
    <w:p w:rsidR="00000000" w:rsidDel="00000000" w:rsidP="00000000" w:rsidRDefault="00000000" w:rsidRPr="00000000" w14:paraId="00000093">
      <w:pPr>
        <w:ind w:left="720" w:hanging="360"/>
        <w:rPr>
          <w:rFonts w:ascii="Calibri" w:cs="Calibri" w:eastAsia="Calibri" w:hAnsi="Calibri"/>
          <w:color w:val="000000"/>
          <w:sz w:val="22"/>
          <w:szCs w:val="22"/>
          <w:shd w:fill="faf8f6" w:val="clear"/>
        </w:rPr>
      </w:pPr>
      <w:r w:rsidDel="00000000" w:rsidR="00000000" w:rsidRPr="00000000">
        <w:rPr>
          <w:rFonts w:ascii="Calibri" w:cs="Calibri" w:eastAsia="Calibri" w:hAnsi="Calibri"/>
          <w:color w:val="000000"/>
          <w:sz w:val="22"/>
          <w:szCs w:val="22"/>
          <w:shd w:fill="faf8f6" w:val="clear"/>
          <w:rtl w:val="0"/>
        </w:rPr>
        <w:t xml:space="preserve">National Academies of Sciences, Engineering, and Medicine (2018). Clinical management of mental health conditions at the Veterans Health Administration. In </w:t>
      </w:r>
      <w:r w:rsidDel="00000000" w:rsidR="00000000" w:rsidRPr="00000000">
        <w:rPr>
          <w:rFonts w:ascii="Calibri" w:cs="Calibri" w:eastAsia="Calibri" w:hAnsi="Calibri"/>
          <w:i w:val="1"/>
          <w:iCs w:val="1"/>
          <w:color w:val="000000"/>
          <w:sz w:val="22"/>
          <w:szCs w:val="22"/>
          <w:shd w:fill="faf8f6" w:val="clear"/>
          <w:rtl w:val="0"/>
        </w:rPr>
        <w:t xml:space="preserve">Evaluation of the Department of Veterans Affairs Mental Health Services.</w:t>
      </w:r>
      <w:r w:rsidDel="00000000" w:rsidR="00000000" w:rsidRPr="00000000">
        <w:rPr>
          <w:rFonts w:ascii="Calibri" w:cs="Calibri" w:eastAsia="Calibri" w:hAnsi="Calibri"/>
          <w:color w:val="000000"/>
          <w:sz w:val="22"/>
          <w:szCs w:val="22"/>
          <w:shd w:fill="faf8f6" w:val="clear"/>
          <w:rtl w:val="0"/>
        </w:rPr>
        <w:t xml:space="preserve"> Washington, DC: The National Academies Press. doi: </w:t>
      </w:r>
      <w:hyperlink r:id="rId13">
        <w:r w:rsidDel="00000000" w:rsidR="00000000" w:rsidRPr="00000000">
          <w:rPr>
            <w:rFonts w:ascii="Calibri" w:cs="Calibri" w:eastAsia="Calibri" w:hAnsi="Calibri"/>
            <w:color w:val="446cb3"/>
            <w:sz w:val="22"/>
            <w:szCs w:val="22"/>
            <w:u w:val="single"/>
            <w:shd w:fill="faf8f6" w:val="clear"/>
            <w:rtl w:val="0"/>
          </w:rPr>
          <w:t xml:space="preserve">https://doi.org/10.17226/24915</w:t>
        </w:r>
      </w:hyperlink>
      <w:r w:rsidDel="00000000" w:rsidR="00000000" w:rsidRPr="00000000">
        <w:rPr>
          <w:rFonts w:ascii="Calibri" w:cs="Calibri" w:eastAsia="Calibri" w:hAnsi="Calibri"/>
          <w:color w:val="000000"/>
          <w:sz w:val="22"/>
          <w:szCs w:val="22"/>
          <w:shd w:fill="faf8f6" w:val="clear"/>
          <w:rtl w:val="0"/>
        </w:rPr>
        <w:t xml:space="preserve">.</w:t>
      </w:r>
    </w:p>
    <w:p w:rsidR="00000000" w:rsidDel="00000000" w:rsidP="00000000" w:rsidRDefault="00000000" w:rsidRPr="00000000" w14:paraId="00000094">
      <w:pPr>
        <w:ind w:left="720" w:hanging="360"/>
        <w:rPr>
          <w:rFonts w:ascii="Calibri" w:cs="Calibri" w:eastAsia="Calibri" w:hAnsi="Calibri"/>
          <w:sz w:val="22"/>
          <w:szCs w:val="22"/>
          <w:shd w:fill="faf8f6" w:val="clear"/>
        </w:rPr>
      </w:pPr>
      <w:r w:rsidDel="00000000" w:rsidR="00000000" w:rsidRPr="00000000">
        <w:rPr>
          <w:rtl w:val="0"/>
        </w:rPr>
      </w:r>
    </w:p>
    <w:p w:rsidR="00000000" w:rsidDel="00000000" w:rsidP="00000000" w:rsidRDefault="00000000" w:rsidRPr="00000000" w14:paraId="00000095">
      <w:pPr>
        <w:ind w:left="720" w:hanging="360"/>
        <w:rPr>
          <w:rFonts w:ascii="Calibri" w:cs="Calibri" w:eastAsia="Calibri" w:hAnsi="Calibri"/>
          <w:sz w:val="22"/>
          <w:szCs w:val="22"/>
          <w:shd w:fill="faf8f6" w:val="clear"/>
        </w:rPr>
      </w:pPr>
      <w:r w:rsidDel="00000000" w:rsidR="00000000" w:rsidRPr="00000000">
        <w:rPr>
          <w:rtl w:val="0"/>
        </w:rPr>
      </w:r>
    </w:p>
    <w:p w:rsidR="00000000" w:rsidDel="00000000" w:rsidP="00000000" w:rsidRDefault="00000000" w:rsidRPr="00000000" w14:paraId="00000096">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Ringer, F. B., Soberay, K. A., Rogers, M. L., Hagan, C. R., Chu, C., Schneider, M., Podlogar, M. C., Witte, T., Holm-Denoma, J., Plant, E. A., Gutierrez, P. M., &amp; Joiner, T. E. (2018). Initial validation of brief measures of suicide risk factors: Common data elements used by the military suicide research consortium. </w:t>
      </w:r>
      <w:r w:rsidDel="00000000" w:rsidR="00000000" w:rsidRPr="00000000">
        <w:rPr>
          <w:rFonts w:ascii="Calibri" w:cs="Calibri" w:eastAsia="Calibri" w:hAnsi="Calibri"/>
          <w:i w:val="1"/>
          <w:iCs w:val="1"/>
          <w:sz w:val="22"/>
          <w:szCs w:val="22"/>
          <w:rtl w:val="0"/>
        </w:rPr>
        <w:t xml:space="preserve">Psychological Assessment</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30</w:t>
      </w:r>
      <w:r w:rsidDel="00000000" w:rsidR="00000000" w:rsidRPr="00000000">
        <w:rPr>
          <w:rFonts w:ascii="Calibri" w:cs="Calibri" w:eastAsia="Calibri" w:hAnsi="Calibri"/>
          <w:sz w:val="22"/>
          <w:szCs w:val="22"/>
          <w:rtl w:val="0"/>
        </w:rPr>
        <w:t xml:space="preserve">(6), 767-778.</w:t>
      </w:r>
    </w:p>
    <w:p w:rsidR="00000000" w:rsidDel="00000000" w:rsidP="00000000" w:rsidRDefault="00000000" w:rsidRPr="00000000" w14:paraId="00000097">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Stecker, T., Fortney, J. C., Hamilton, F., &amp; Ajzen, I. (2007). An assessment of beliefs about mental health care among veterans who served in Iraq. </w:t>
      </w:r>
      <w:r w:rsidDel="00000000" w:rsidR="00000000" w:rsidRPr="00000000">
        <w:rPr>
          <w:rFonts w:ascii="Calibri" w:cs="Calibri" w:eastAsia="Calibri" w:hAnsi="Calibri"/>
          <w:i w:val="1"/>
          <w:iCs w:val="1"/>
          <w:sz w:val="22"/>
          <w:szCs w:val="22"/>
          <w:rtl w:val="0"/>
        </w:rPr>
        <w:t xml:space="preserve">Psychiatric Services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58</w:t>
      </w:r>
      <w:r w:rsidDel="00000000" w:rsidR="00000000" w:rsidRPr="00000000">
        <w:rPr>
          <w:rFonts w:ascii="Calibri" w:cs="Calibri" w:eastAsia="Calibri" w:hAnsi="Calibri"/>
          <w:sz w:val="22"/>
          <w:szCs w:val="22"/>
          <w:rtl w:val="0"/>
        </w:rPr>
        <w:t xml:space="preserve">, 1358-1361.</w:t>
      </w:r>
    </w:p>
    <w:p w:rsidR="00000000" w:rsidDel="00000000" w:rsidP="00000000" w:rsidRDefault="00000000" w:rsidRPr="00000000" w14:paraId="00000098">
      <w:pPr>
        <w:widowControl w:val="0"/>
        <w:ind w:left="720" w:hanging="36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9">
      <w:pPr>
        <w:widowControl w:val="0"/>
        <w:ind w:left="360" w:hanging="360"/>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Elderly</w:t>
      </w:r>
    </w:p>
    <w:p w:rsidR="00000000" w:rsidDel="00000000" w:rsidP="00000000" w:rsidRDefault="00000000" w:rsidRPr="00000000" w14:paraId="0000009A">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Ramaprasad, D., Rao, N. S., &amp; Kalyanasundaram, S. (2015). Disability and quality of life among elderly persons with mental illness. </w:t>
      </w:r>
      <w:r w:rsidDel="00000000" w:rsidR="00000000" w:rsidRPr="00000000">
        <w:rPr>
          <w:rFonts w:ascii="Calibri" w:cs="Calibri" w:eastAsia="Calibri" w:hAnsi="Calibri"/>
          <w:i w:val="1"/>
          <w:iCs w:val="1"/>
          <w:sz w:val="22"/>
          <w:szCs w:val="22"/>
          <w:rtl w:val="0"/>
        </w:rPr>
        <w:t xml:space="preserve">Asian Journal of Psychiatry</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18</w:t>
      </w:r>
      <w:r w:rsidDel="00000000" w:rsidR="00000000" w:rsidRPr="00000000">
        <w:rPr>
          <w:rFonts w:ascii="Calibri" w:cs="Calibri" w:eastAsia="Calibri" w:hAnsi="Calibri"/>
          <w:sz w:val="22"/>
          <w:szCs w:val="22"/>
          <w:rtl w:val="0"/>
        </w:rPr>
        <w:t xml:space="preserve">, 31-36.</w:t>
      </w:r>
    </w:p>
    <w:p w:rsidR="00000000" w:rsidDel="00000000" w:rsidP="00000000" w:rsidRDefault="00000000" w:rsidRPr="00000000" w14:paraId="0000009B">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Sheehan, B. (2012). Assessment scales in dementia. </w:t>
      </w:r>
      <w:r w:rsidDel="00000000" w:rsidR="00000000" w:rsidRPr="00000000">
        <w:rPr>
          <w:rFonts w:ascii="Calibri" w:cs="Calibri" w:eastAsia="Calibri" w:hAnsi="Calibri"/>
          <w:i w:val="1"/>
          <w:iCs w:val="1"/>
          <w:sz w:val="22"/>
          <w:szCs w:val="22"/>
          <w:rtl w:val="0"/>
        </w:rPr>
        <w:t xml:space="preserve">Therapeutic Advances in Neurological Disorders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1"/>
          <w:iCs w:val="1"/>
          <w:sz w:val="22"/>
          <w:szCs w:val="22"/>
          <w:rtl w:val="0"/>
        </w:rPr>
        <w:t xml:space="preserve">5</w:t>
      </w:r>
      <w:r w:rsidDel="00000000" w:rsidR="00000000" w:rsidRPr="00000000">
        <w:rPr>
          <w:rFonts w:ascii="Calibri" w:cs="Calibri" w:eastAsia="Calibri" w:hAnsi="Calibri"/>
          <w:sz w:val="22"/>
          <w:szCs w:val="22"/>
          <w:rtl w:val="0"/>
        </w:rPr>
        <w:t xml:space="preserve">(6), 349-358.</w:t>
      </w:r>
    </w:p>
    <w:p w:rsidR="00000000" w:rsidDel="00000000" w:rsidP="00000000" w:rsidRDefault="00000000" w:rsidRPr="00000000" w14:paraId="0000009C">
      <w:pPr>
        <w:widowControl w:val="0"/>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Sue, D. W., &amp; Sue, D., Neville, H. A., &amp; Smith, L. (2019). Counseling older adults. In D. Sue, D. Sue, H. Neville, and L. Smith (Eds.), </w:t>
      </w:r>
      <w:r w:rsidDel="00000000" w:rsidR="00000000" w:rsidRPr="00000000">
        <w:rPr>
          <w:rFonts w:ascii="Calibri" w:cs="Calibri" w:eastAsia="Calibri" w:hAnsi="Calibri"/>
          <w:i w:val="1"/>
          <w:iCs w:val="1"/>
          <w:sz w:val="22"/>
          <w:szCs w:val="22"/>
          <w:rtl w:val="0"/>
        </w:rPr>
        <w:t xml:space="preserve">Counseling the culturally diverse: Theory and practice</w:t>
      </w:r>
      <w:r w:rsidDel="00000000" w:rsidR="00000000" w:rsidRPr="00000000">
        <w:rPr>
          <w:rFonts w:ascii="Calibri" w:cs="Calibri" w:eastAsia="Calibri" w:hAnsi="Calibri"/>
          <w:sz w:val="22"/>
          <w:szCs w:val="22"/>
          <w:rtl w:val="0"/>
        </w:rPr>
        <w:t xml:space="preserve"> (8</w:t>
      </w:r>
      <w:r w:rsidDel="00000000" w:rsidR="00000000" w:rsidRPr="00000000">
        <w:rPr>
          <w:rFonts w:ascii="Calibri" w:cs="Calibri" w:eastAsia="Calibri" w:hAnsi="Calibri"/>
          <w:sz w:val="22"/>
          <w:szCs w:val="22"/>
          <w:vertAlign w:val="superscript"/>
          <w:rtl w:val="0"/>
        </w:rPr>
        <w:t xml:space="preserve">th</w:t>
      </w:r>
      <w:r w:rsidDel="00000000" w:rsidR="00000000" w:rsidRPr="00000000">
        <w:rPr>
          <w:rFonts w:ascii="Calibri" w:cs="Calibri" w:eastAsia="Calibri" w:hAnsi="Calibri"/>
          <w:sz w:val="22"/>
          <w:szCs w:val="22"/>
          <w:rtl w:val="0"/>
        </w:rPr>
        <w:t xml:space="preserve"> ed., pp. 458-473). Wiley.</w:t>
      </w:r>
    </w:p>
    <w:p w:rsidR="00000000" w:rsidDel="00000000" w:rsidP="00000000" w:rsidRDefault="00000000" w:rsidRPr="00000000" w14:paraId="0000009D">
      <w:pPr>
        <w:widowControl w:val="0"/>
        <w:ind w:left="720" w:hanging="72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E">
      <w:pPr>
        <w:widowControl w:val="0"/>
        <w:spacing w:before="9" w:lineRule="auto"/>
        <w:rPr>
          <w:rFonts w:ascii="Calibri" w:cs="Calibri" w:eastAsia="Calibri" w:hAnsi="Calibri"/>
          <w:b w:val="1"/>
          <w:bCs w:val="1"/>
          <w:sz w:val="22"/>
          <w:szCs w:val="22"/>
        </w:rPr>
      </w:pPr>
      <w:bookmarkStart w:colFirst="0" w:colLast="0" w:name="_heading=h.3dy6vkm" w:id="5"/>
      <w:bookmarkEnd w:id="5"/>
      <w:r w:rsidDel="00000000" w:rsidR="00000000" w:rsidRPr="00000000">
        <w:rPr>
          <w:rFonts w:ascii="Calibri" w:cs="Calibri" w:eastAsia="Calibri" w:hAnsi="Calibri"/>
          <w:b w:val="1"/>
          <w:bCs w:val="1"/>
          <w:sz w:val="22"/>
          <w:szCs w:val="22"/>
          <w:rtl w:val="0"/>
        </w:rPr>
        <w:t xml:space="preserve">Course Requirements </w:t>
      </w:r>
    </w:p>
    <w:p w:rsidR="00000000" w:rsidDel="00000000" w:rsidP="00000000" w:rsidRDefault="00000000" w:rsidRPr="00000000" w14:paraId="0000009F">
      <w:pP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Course Requirements in Relation to Credit Hours.</w:t>
      </w:r>
      <w:r w:rsidDel="00000000" w:rsidR="00000000" w:rsidRPr="00000000">
        <w:rPr>
          <w:rFonts w:ascii="Calibri" w:cs="Calibri" w:eastAsia="Calibri" w:hAnsi="Calibri"/>
          <w:sz w:val="22"/>
          <w:szCs w:val="22"/>
          <w:rtl w:val="0"/>
        </w:rPr>
        <w:t xml:space="preserve"> This is a three-credit hour course requiring 135 clock hours of student engagement, per the official CUH Credit Hour Policy. Students enrolled in this doctoral-level course are anticipated to spend a minimum of 45 hours in class. The additional 90+ hours outside of classes are anticipated to equal 2-4 hours per week on course readings and class preparation, and 2-4 hours per week of work on future assignments (e.g., presentations, projects, papers, exams).</w:t>
      </w:r>
    </w:p>
    <w:p w:rsidR="00000000" w:rsidDel="00000000" w:rsidP="00000000" w:rsidRDefault="00000000" w:rsidRPr="00000000" w14:paraId="000000A0">
      <w:pPr>
        <w:widowControl w:val="0"/>
        <w:spacing w:before="9" w:lineRule="auto"/>
        <w:rPr>
          <w:rFonts w:ascii="Calibri" w:cs="Calibri" w:eastAsia="Calibri" w:hAnsi="Calibri"/>
          <w:b w:val="1"/>
          <w:bCs w:val="1"/>
          <w:sz w:val="22"/>
          <w:szCs w:val="22"/>
        </w:rPr>
      </w:pPr>
      <w:bookmarkStart w:colFirst="0" w:colLast="0" w:name="_heading=h.fmzwytyqqhs" w:id="6"/>
      <w:bookmarkEnd w:id="6"/>
      <w:r w:rsidDel="00000000" w:rsidR="00000000" w:rsidRPr="00000000">
        <w:rPr>
          <w:rtl w:val="0"/>
        </w:rPr>
      </w:r>
    </w:p>
    <w:p w:rsidR="00000000" w:rsidDel="00000000" w:rsidP="00000000" w:rsidRDefault="00000000" w:rsidRPr="00000000" w14:paraId="000000A1">
      <w:pPr>
        <w:widowControl w:val="0"/>
        <w:spacing w:before="9" w:lineRule="auto"/>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Attendance and Participation. </w:t>
      </w:r>
      <w:r w:rsidDel="00000000" w:rsidR="00000000" w:rsidRPr="00000000">
        <w:rPr>
          <w:rFonts w:ascii="Calibri" w:cs="Calibri" w:eastAsia="Calibri" w:hAnsi="Calibri"/>
          <w:sz w:val="22"/>
          <w:szCs w:val="22"/>
          <w:rtl w:val="0"/>
        </w:rPr>
        <w:t xml:space="preserve">Regular attendance and active participation in class discussions and role-plays are required. </w:t>
      </w:r>
      <w:r w:rsidDel="00000000" w:rsidR="00000000" w:rsidRPr="00000000">
        <w:rPr>
          <w:rFonts w:ascii="Calibri" w:cs="Calibri" w:eastAsia="Calibri" w:hAnsi="Calibri"/>
          <w:color w:val="000000"/>
          <w:sz w:val="22"/>
          <w:szCs w:val="22"/>
          <w:rtl w:val="0"/>
        </w:rPr>
        <w:t xml:space="preserve">Therefore, students are expected to attend every class, arrive on time, complete all assigned readings, actively participate in class discussions, complete all in-class assignments, and behave appropriately and professionally at all times. Failure to meet these expectations will </w:t>
      </w:r>
      <w:r w:rsidDel="00000000" w:rsidR="00000000" w:rsidRPr="00000000">
        <w:rPr>
          <w:rFonts w:ascii="Calibri" w:cs="Calibri" w:eastAsia="Calibri" w:hAnsi="Calibri"/>
          <w:sz w:val="22"/>
          <w:szCs w:val="22"/>
          <w:rtl w:val="0"/>
        </w:rPr>
        <w:t xml:space="preserve">result in an individual meeting with the instructor, and if severe or chronic, will result in a meeting with the student’s academic advisor for remediation. Late or absent students are responsible for missed material, and m</w:t>
      </w:r>
      <w:r w:rsidDel="00000000" w:rsidR="00000000" w:rsidRPr="00000000">
        <w:rPr>
          <w:rFonts w:ascii="Calibri" w:cs="Calibri" w:eastAsia="Calibri" w:hAnsi="Calibri"/>
          <w:color w:val="000000"/>
          <w:sz w:val="22"/>
          <w:szCs w:val="22"/>
          <w:rtl w:val="0"/>
        </w:rPr>
        <w:t xml:space="preserve">ore than two unexcused absences will require additional work and may result in loss of credit for the course.</w:t>
      </w:r>
      <w:r w:rsidDel="00000000" w:rsidR="00000000" w:rsidRPr="00000000">
        <w:rPr>
          <w:rtl w:val="0"/>
        </w:rPr>
      </w:r>
    </w:p>
    <w:p w:rsidR="00000000" w:rsidDel="00000000" w:rsidP="00000000" w:rsidRDefault="00000000" w:rsidRPr="00000000" w14:paraId="000000A2">
      <w:pPr>
        <w:widowControl w:val="0"/>
        <w:spacing w:before="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3">
      <w:pPr>
        <w:widowControl w:val="0"/>
        <w:spacing w:before="9"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Students are expected to familiarize themselves with all assigned materials ahead of time and to come prepared to discuss and/or apply them in class. The readings listed for a particular class date are the readings that will be discussed on that date, so please read them ahead and come prepared to discuss them or do activities based on the readings. Attendance and participation are worth 10% of your grade.</w:t>
      </w:r>
    </w:p>
    <w:p w:rsidR="00000000" w:rsidDel="00000000" w:rsidP="00000000" w:rsidRDefault="00000000" w:rsidRPr="00000000" w14:paraId="000000A4">
      <w:pPr>
        <w:widowControl w:val="0"/>
        <w:spacing w:before="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5">
      <w:pPr>
        <w:pStyle w:val="Heading2"/>
        <w:spacing w:after="0" w:before="0" w:line="240" w:lineRule="auto"/>
        <w:rPr/>
      </w:pPr>
      <w:r w:rsidDel="00000000" w:rsidR="00000000" w:rsidRPr="00000000">
        <w:rPr>
          <w:rFonts w:ascii="Calibri" w:cs="Calibri" w:eastAsia="Calibri" w:hAnsi="Calibri"/>
          <w:b w:val="1"/>
          <w:bCs w:val="1"/>
          <w:sz w:val="22"/>
          <w:szCs w:val="22"/>
          <w:rtl w:val="0"/>
        </w:rPr>
        <w:t xml:space="preserve">Demystifying Disability Chapter Presentations</w:t>
      </w:r>
      <w:r w:rsidDel="00000000" w:rsidR="00000000" w:rsidRPr="00000000">
        <w:rPr>
          <w:rFonts w:ascii="Calibri" w:cs="Calibri" w:eastAsia="Calibri" w:hAnsi="Calibri"/>
          <w:sz w:val="22"/>
          <w:szCs w:val="22"/>
          <w:rtl w:val="0"/>
        </w:rPr>
        <w:t xml:space="preserve"> - Students will be required to read </w:t>
      </w:r>
      <w:r w:rsidDel="00000000" w:rsidR="00000000" w:rsidRPr="00000000">
        <w:rPr>
          <w:rFonts w:ascii="Calibri" w:cs="Calibri" w:eastAsia="Calibri" w:hAnsi="Calibri"/>
          <w:i w:val="1"/>
          <w:iCs w:val="1"/>
          <w:sz w:val="22"/>
          <w:szCs w:val="22"/>
          <w:rtl w:val="0"/>
        </w:rPr>
        <w:t xml:space="preserve">Demystifying Disability</w:t>
      </w:r>
      <w:r w:rsidDel="00000000" w:rsidR="00000000" w:rsidRPr="00000000">
        <w:rPr>
          <w:rFonts w:ascii="Calibri" w:cs="Calibri" w:eastAsia="Calibri" w:hAnsi="Calibri"/>
          <w:sz w:val="22"/>
          <w:szCs w:val="22"/>
          <w:rtl w:val="0"/>
        </w:rPr>
        <w:t xml:space="preserve">, by Emily Ladau, and will be assigned chapters to review, a la “book club.” An assignment rubric is available in the google drive course folder. This assignment is worth 10% of your grade; students will work alone or  in a dyad. Partners will receive the same score.</w:t>
      </w: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ind w:left="720" w:firstLine="0"/>
        <w:rPr>
          <w:rFonts w:ascii="Calibri" w:cs="Calibri" w:eastAsia="Calibri" w:hAnsi="Calibri"/>
          <w:b w:val="1"/>
          <w:bCs w:val="1"/>
          <w:color w:val="000000"/>
          <w:sz w:val="22"/>
          <w:szCs w:val="22"/>
        </w:rPr>
      </w:pPr>
      <w:r w:rsidDel="00000000" w:rsidR="00000000" w:rsidRPr="00000000">
        <w:rPr>
          <w:rtl w:val="0"/>
        </w:rPr>
      </w:r>
    </w:p>
    <w:p w:rsidR="00000000" w:rsidDel="00000000" w:rsidP="00000000" w:rsidRDefault="00000000" w:rsidRPr="00000000" w14:paraId="000000A7">
      <w:pP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Problem-Based Learning – Learning Issues (PBL-LI) </w:t>
      </w:r>
      <w:r w:rsidDel="00000000" w:rsidR="00000000" w:rsidRPr="00000000">
        <w:rPr>
          <w:rFonts w:ascii="Calibri" w:cs="Calibri" w:eastAsia="Calibri" w:hAnsi="Calibri"/>
          <w:sz w:val="22"/>
          <w:szCs w:val="22"/>
          <w:rtl w:val="0"/>
        </w:rPr>
        <w:t xml:space="preserve">– Students will be required to submit a 1-2 page paper and give a 10-minute in-class oral presentation on a learning issue that emerges from the Problem-Based Learning (PBL) activities related to the clinical case (see the course schedule). For the PBL Learning Issue Report, the paper and the associated 10-15 minute presentation will be worth 10 points, each.  Thus, the LI report and presentations totaling 20 points, accounting for 20% of your grade).</w:t>
      </w:r>
    </w:p>
    <w:p w:rsidR="00000000" w:rsidDel="00000000" w:rsidP="00000000" w:rsidRDefault="00000000" w:rsidRPr="00000000" w14:paraId="000000A8">
      <w:pPr>
        <w:pBdr>
          <w:top w:space="0" w:sz="0" w:val="nil"/>
          <w:left w:space="0" w:sz="0" w:val="nil"/>
          <w:bottom w:space="0" w:sz="0" w:val="nil"/>
          <w:right w:space="0" w:sz="0" w:val="nil"/>
          <w:between w:space="0" w:sz="0" w:val="nil"/>
        </w:pBd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9">
      <w:pP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Teach-In</w:t>
      </w:r>
      <w:r w:rsidDel="00000000" w:rsidR="00000000" w:rsidRPr="00000000">
        <w:rPr>
          <w:rFonts w:ascii="Calibri" w:cs="Calibri" w:eastAsia="Calibri" w:hAnsi="Calibri"/>
          <w:sz w:val="22"/>
          <w:szCs w:val="22"/>
          <w:rtl w:val="0"/>
        </w:rPr>
        <w:t xml:space="preserve"> – Students will be required to teach the class about the specific guidelines for practitioners working with special populations. Students will be required to assign 1-2 peer-reviewed journal articles per topic (in addition to the APA guidelines) and cover the important content and diversity-based considerations in a 15-20 minute PowerPoint presentation. Folks may request one of the guidelines, below, or one will be assigned, randomly. Approval must be given to avoid duplication of coverage. Guidelines will be assigned on a first-come, first-served basis. Teach-In grading will be based upon accuracy and breadth of assessment and intervention coverage (four areas of evaluation, 5 points each, 20 points total, or 20% of your grade). This is not a comprehensive list – for example, guidelines in working with </w:t>
      </w:r>
      <w:r w:rsidDel="00000000" w:rsidR="00000000" w:rsidRPr="00000000">
        <w:rPr>
          <w:rFonts w:ascii="Calibri" w:cs="Calibri" w:eastAsia="Calibri" w:hAnsi="Calibri"/>
          <w:color w:val="0070c0"/>
          <w:sz w:val="22"/>
          <w:szCs w:val="22"/>
          <w:rtl w:val="0"/>
        </w:rPr>
        <w:t xml:space="preserve">TBI, </w:t>
      </w:r>
      <w:r w:rsidDel="00000000" w:rsidR="00000000" w:rsidRPr="00000000">
        <w:rPr>
          <w:rFonts w:ascii="Calibri" w:cs="Calibri" w:eastAsia="Calibri" w:hAnsi="Calibri"/>
          <w:sz w:val="22"/>
          <w:szCs w:val="22"/>
          <w:rtl w:val="0"/>
        </w:rPr>
        <w:t xml:space="preserve">and assessing and treating </w:t>
      </w:r>
      <w:r w:rsidDel="00000000" w:rsidR="00000000" w:rsidRPr="00000000">
        <w:rPr>
          <w:rFonts w:ascii="Calibri" w:cs="Calibri" w:eastAsia="Calibri" w:hAnsi="Calibri"/>
          <w:color w:val="0070c0"/>
          <w:sz w:val="22"/>
          <w:szCs w:val="22"/>
          <w:rtl w:val="0"/>
        </w:rPr>
        <w:t xml:space="preserve">incarcerated populations </w:t>
      </w:r>
      <w:r w:rsidDel="00000000" w:rsidR="00000000" w:rsidRPr="00000000">
        <w:rPr>
          <w:rFonts w:ascii="Calibri" w:cs="Calibri" w:eastAsia="Calibri" w:hAnsi="Calibri"/>
          <w:sz w:val="22"/>
          <w:szCs w:val="22"/>
          <w:rtl w:val="0"/>
        </w:rPr>
        <w:t xml:space="preserve">would be acceptable topics as they are not covered within the scope of this class, directly.</w:t>
      </w:r>
    </w:p>
    <w:p w:rsidR="00000000" w:rsidDel="00000000" w:rsidP="00000000" w:rsidRDefault="00000000" w:rsidRPr="00000000" w14:paraId="000000AA">
      <w:pPr>
        <w:pBdr>
          <w:top w:space="0" w:sz="0" w:val="nil"/>
          <w:left w:space="0" w:sz="0" w:val="nil"/>
          <w:bottom w:space="0" w:sz="0" w:val="nil"/>
          <w:right w:space="0" w:sz="0" w:val="nil"/>
          <w:between w:space="0" w:sz="0" w:val="nil"/>
        </w:pBd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This includes the following APA Guidelines:</w:t>
      </w:r>
    </w:p>
    <w:p w:rsidR="00000000" w:rsidDel="00000000" w:rsidP="00000000" w:rsidRDefault="00000000" w:rsidRPr="00000000" w14:paraId="000000AC">
      <w:pPr>
        <w:pBdr>
          <w:top w:space="0" w:sz="0" w:val="nil"/>
          <w:left w:space="0" w:sz="0" w:val="nil"/>
          <w:bottom w:space="0" w:sz="0" w:val="nil"/>
          <w:right w:space="0" w:sz="0" w:val="nil"/>
          <w:between w:space="0" w:sz="0" w:val="nil"/>
        </w:pBdr>
        <w:rPr>
          <w:rFonts w:ascii="Calibri" w:cs="Calibri" w:eastAsia="Calibri" w:hAnsi="Calibri"/>
          <w:color w:val="0000ff"/>
          <w:sz w:val="22"/>
          <w:szCs w:val="22"/>
        </w:rPr>
      </w:pPr>
      <w:r w:rsidDel="00000000" w:rsidR="00000000" w:rsidRPr="00000000">
        <w:rPr>
          <w:rFonts w:ascii="Calibri" w:cs="Calibri" w:eastAsia="Calibri" w:hAnsi="Calibri"/>
          <w:color w:val="0000ff"/>
          <w:sz w:val="22"/>
          <w:szCs w:val="22"/>
          <w:rtl w:val="0"/>
        </w:rPr>
        <w:tab/>
        <w:t xml:space="preserve">-</w:t>
      </w:r>
      <w:hyperlink r:id="rId14">
        <w:r w:rsidDel="00000000" w:rsidR="00000000" w:rsidRPr="00000000">
          <w:rPr>
            <w:rFonts w:ascii="Calibri" w:cs="Calibri" w:eastAsia="Calibri" w:hAnsi="Calibri"/>
            <w:color w:val="0000ff"/>
            <w:sz w:val="22"/>
            <w:szCs w:val="22"/>
            <w:u w:val="single"/>
            <w:rtl w:val="0"/>
          </w:rPr>
          <w:t xml:space="preserve">Persons with disabilities</w:t>
        </w:r>
      </w:hyperlink>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rPr>
          <w:rFonts w:ascii="Calibri" w:cs="Calibri" w:eastAsia="Calibri" w:hAnsi="Calibri"/>
          <w:color w:val="0000ff"/>
          <w:sz w:val="22"/>
          <w:szCs w:val="22"/>
        </w:rPr>
      </w:pPr>
      <w:r w:rsidDel="00000000" w:rsidR="00000000" w:rsidRPr="00000000">
        <w:rPr>
          <w:rFonts w:ascii="Calibri" w:cs="Calibri" w:eastAsia="Calibri" w:hAnsi="Calibri"/>
          <w:color w:val="0000ff"/>
          <w:sz w:val="22"/>
          <w:szCs w:val="22"/>
          <w:rtl w:val="0"/>
        </w:rPr>
        <w:tab/>
        <w:t xml:space="preserve">-</w:t>
      </w:r>
      <w:hyperlink r:id="rId15">
        <w:r w:rsidDel="00000000" w:rsidR="00000000" w:rsidRPr="00000000">
          <w:rPr>
            <w:rFonts w:ascii="Calibri" w:cs="Calibri" w:eastAsia="Calibri" w:hAnsi="Calibri"/>
            <w:color w:val="0000ff"/>
            <w:sz w:val="22"/>
            <w:szCs w:val="22"/>
            <w:u w:val="single"/>
            <w:rtl w:val="0"/>
          </w:rPr>
          <w:t xml:space="preserve">Ethnically, Linguistically, and Culturally Diverse populations</w:t>
        </w:r>
      </w:hyperlink>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rPr>
          <w:rFonts w:ascii="Calibri" w:cs="Calibri" w:eastAsia="Calibri" w:hAnsi="Calibri"/>
          <w:color w:val="0000ff"/>
          <w:sz w:val="22"/>
          <w:szCs w:val="22"/>
        </w:rPr>
      </w:pPr>
      <w:r w:rsidDel="00000000" w:rsidR="00000000" w:rsidRPr="00000000">
        <w:rPr>
          <w:rFonts w:ascii="Calibri" w:cs="Calibri" w:eastAsia="Calibri" w:hAnsi="Calibri"/>
          <w:color w:val="0000ff"/>
          <w:sz w:val="22"/>
          <w:szCs w:val="22"/>
          <w:rtl w:val="0"/>
        </w:rPr>
        <w:tab/>
        <w:t xml:space="preserve">-</w:t>
      </w:r>
      <w:hyperlink r:id="rId16">
        <w:r w:rsidDel="00000000" w:rsidR="00000000" w:rsidRPr="00000000">
          <w:rPr>
            <w:rFonts w:ascii="Calibri" w:cs="Calibri" w:eastAsia="Calibri" w:hAnsi="Calibri"/>
            <w:color w:val="0000ff"/>
            <w:sz w:val="22"/>
            <w:szCs w:val="22"/>
            <w:u w:val="single"/>
            <w:rtl w:val="0"/>
          </w:rPr>
          <w:t xml:space="preserve">Military Service Members, Veterans and their families</w:t>
        </w:r>
      </w:hyperlink>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rPr>
          <w:rFonts w:ascii="Calibri" w:cs="Calibri" w:eastAsia="Calibri" w:hAnsi="Calibri"/>
          <w:color w:val="0000ff"/>
          <w:sz w:val="22"/>
          <w:szCs w:val="22"/>
        </w:rPr>
      </w:pPr>
      <w:r w:rsidDel="00000000" w:rsidR="00000000" w:rsidRPr="00000000">
        <w:rPr>
          <w:rFonts w:ascii="Calibri" w:cs="Calibri" w:eastAsia="Calibri" w:hAnsi="Calibri"/>
          <w:color w:val="0000ff"/>
          <w:sz w:val="22"/>
          <w:szCs w:val="22"/>
          <w:rtl w:val="0"/>
        </w:rPr>
        <w:tab/>
        <w:t xml:space="preserve">-</w:t>
      </w:r>
      <w:hyperlink r:id="rId17">
        <w:r w:rsidDel="00000000" w:rsidR="00000000" w:rsidRPr="00000000">
          <w:rPr>
            <w:rFonts w:ascii="Calibri" w:cs="Calibri" w:eastAsia="Calibri" w:hAnsi="Calibri"/>
            <w:color w:val="0000ff"/>
            <w:sz w:val="22"/>
            <w:szCs w:val="22"/>
            <w:u w:val="single"/>
            <w:rtl w:val="0"/>
          </w:rPr>
          <w:t xml:space="preserve">PTSD in Adults</w:t>
        </w:r>
      </w:hyperlink>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rPr>
          <w:rFonts w:ascii="Calibri" w:cs="Calibri" w:eastAsia="Calibri" w:hAnsi="Calibri"/>
          <w:color w:val="0000ff"/>
          <w:sz w:val="22"/>
          <w:szCs w:val="22"/>
        </w:rPr>
      </w:pPr>
      <w:r w:rsidDel="00000000" w:rsidR="00000000" w:rsidRPr="00000000">
        <w:rPr>
          <w:rFonts w:ascii="Calibri" w:cs="Calibri" w:eastAsia="Calibri" w:hAnsi="Calibri"/>
          <w:color w:val="0000ff"/>
          <w:sz w:val="22"/>
          <w:szCs w:val="22"/>
          <w:rtl w:val="0"/>
        </w:rPr>
        <w:tab/>
      </w:r>
      <w:hyperlink r:id="rId18">
        <w:r w:rsidDel="00000000" w:rsidR="00000000" w:rsidRPr="00000000">
          <w:rPr>
            <w:rFonts w:ascii="Calibri" w:cs="Calibri" w:eastAsia="Calibri" w:hAnsi="Calibri"/>
            <w:color w:val="0000ff"/>
            <w:sz w:val="22"/>
            <w:szCs w:val="22"/>
            <w:u w:val="single"/>
            <w:rtl w:val="0"/>
          </w:rPr>
          <w:t xml:space="preserve">-LBG clients</w:t>
        </w:r>
      </w:hyperlink>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rPr>
          <w:rFonts w:ascii="Calibri" w:cs="Calibri" w:eastAsia="Calibri" w:hAnsi="Calibri"/>
          <w:color w:val="0000ff"/>
          <w:sz w:val="22"/>
          <w:szCs w:val="22"/>
        </w:rPr>
      </w:pPr>
      <w:r w:rsidDel="00000000" w:rsidR="00000000" w:rsidRPr="00000000">
        <w:rPr>
          <w:rFonts w:ascii="Calibri" w:cs="Calibri" w:eastAsia="Calibri" w:hAnsi="Calibri"/>
          <w:color w:val="0000ff"/>
          <w:sz w:val="22"/>
          <w:szCs w:val="22"/>
          <w:rtl w:val="0"/>
        </w:rPr>
        <w:tab/>
        <w:t xml:space="preserve">-</w:t>
      </w:r>
      <w:hyperlink r:id="rId19">
        <w:r w:rsidDel="00000000" w:rsidR="00000000" w:rsidRPr="00000000">
          <w:rPr>
            <w:rFonts w:ascii="Calibri" w:cs="Calibri" w:eastAsia="Calibri" w:hAnsi="Calibri"/>
            <w:color w:val="0000ff"/>
            <w:sz w:val="22"/>
            <w:szCs w:val="22"/>
            <w:u w:val="single"/>
            <w:rtl w:val="0"/>
          </w:rPr>
          <w:t xml:space="preserve">Older adults</w:t>
        </w:r>
      </w:hyperlink>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rPr>
          <w:rFonts w:ascii="Calibri" w:cs="Calibri" w:eastAsia="Calibri" w:hAnsi="Calibri"/>
          <w:color w:val="0000ff"/>
          <w:sz w:val="22"/>
          <w:szCs w:val="22"/>
        </w:rPr>
      </w:pPr>
      <w:r w:rsidDel="00000000" w:rsidR="00000000" w:rsidRPr="00000000">
        <w:rPr>
          <w:rFonts w:ascii="Calibri" w:cs="Calibri" w:eastAsia="Calibri" w:hAnsi="Calibri"/>
          <w:color w:val="0000ff"/>
          <w:sz w:val="22"/>
          <w:szCs w:val="22"/>
          <w:rtl w:val="0"/>
        </w:rPr>
        <w:tab/>
        <w:t xml:space="preserve">-</w:t>
      </w:r>
      <w:hyperlink r:id="rId20">
        <w:r w:rsidDel="00000000" w:rsidR="00000000" w:rsidRPr="00000000">
          <w:rPr>
            <w:rFonts w:ascii="Calibri" w:cs="Calibri" w:eastAsia="Calibri" w:hAnsi="Calibri"/>
            <w:color w:val="0000ff"/>
            <w:sz w:val="22"/>
            <w:szCs w:val="22"/>
            <w:u w:val="single"/>
            <w:rtl w:val="0"/>
          </w:rPr>
          <w:t xml:space="preserve">Girls &amp; Women</w:t>
        </w:r>
      </w:hyperlink>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rPr>
          <w:rFonts w:ascii="Calibri" w:cs="Calibri" w:eastAsia="Calibri" w:hAnsi="Calibri"/>
          <w:color w:val="0000ff"/>
          <w:sz w:val="22"/>
          <w:szCs w:val="22"/>
        </w:rPr>
      </w:pPr>
      <w:r w:rsidDel="00000000" w:rsidR="00000000" w:rsidRPr="00000000">
        <w:rPr>
          <w:rFonts w:ascii="Calibri" w:cs="Calibri" w:eastAsia="Calibri" w:hAnsi="Calibri"/>
          <w:color w:val="0000ff"/>
          <w:sz w:val="22"/>
          <w:szCs w:val="22"/>
          <w:rtl w:val="0"/>
        </w:rPr>
        <w:tab/>
      </w:r>
      <w:hyperlink r:id="rId21">
        <w:r w:rsidDel="00000000" w:rsidR="00000000" w:rsidRPr="00000000">
          <w:rPr>
            <w:rFonts w:ascii="Calibri" w:cs="Calibri" w:eastAsia="Calibri" w:hAnsi="Calibri"/>
            <w:color w:val="0000ff"/>
            <w:sz w:val="22"/>
            <w:szCs w:val="22"/>
            <w:u w:val="single"/>
            <w:rtl w:val="0"/>
          </w:rPr>
          <w:t xml:space="preserve">-Boys &amp; Men</w:t>
        </w:r>
      </w:hyperlink>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rPr>
          <w:rFonts w:ascii="Calibri" w:cs="Calibri" w:eastAsia="Calibri" w:hAnsi="Calibri"/>
          <w:color w:val="0000ff"/>
          <w:sz w:val="22"/>
          <w:szCs w:val="22"/>
        </w:rPr>
      </w:pPr>
      <w:r w:rsidDel="00000000" w:rsidR="00000000" w:rsidRPr="00000000">
        <w:rPr>
          <w:rFonts w:ascii="Calibri" w:cs="Calibri" w:eastAsia="Calibri" w:hAnsi="Calibri"/>
          <w:color w:val="0000ff"/>
          <w:sz w:val="22"/>
          <w:szCs w:val="22"/>
          <w:rtl w:val="0"/>
        </w:rPr>
        <w:tab/>
        <w:t xml:space="preserve">-</w:t>
      </w:r>
      <w:hyperlink r:id="rId22">
        <w:r w:rsidDel="00000000" w:rsidR="00000000" w:rsidRPr="00000000">
          <w:rPr>
            <w:rFonts w:ascii="Calibri" w:cs="Calibri" w:eastAsia="Calibri" w:hAnsi="Calibri"/>
            <w:color w:val="0000ff"/>
            <w:sz w:val="22"/>
            <w:szCs w:val="22"/>
            <w:u w:val="single"/>
            <w:rtl w:val="0"/>
          </w:rPr>
          <w:t xml:space="preserve">Transgender &amp; Gender non-conforming people</w:t>
        </w:r>
      </w:hyperlink>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rPr>
          <w:rFonts w:ascii="Calibri" w:cs="Calibri" w:eastAsia="Calibri" w:hAnsi="Calibri"/>
          <w:color w:val="0000ff"/>
          <w:sz w:val="22"/>
          <w:szCs w:val="22"/>
        </w:rPr>
      </w:pPr>
      <w:r w:rsidDel="00000000" w:rsidR="00000000" w:rsidRPr="00000000">
        <w:rPr>
          <w:rFonts w:ascii="Calibri" w:cs="Calibri" w:eastAsia="Calibri" w:hAnsi="Calibri"/>
          <w:color w:val="0000ff"/>
          <w:sz w:val="22"/>
          <w:szCs w:val="22"/>
          <w:rtl w:val="0"/>
        </w:rPr>
        <w:tab/>
        <w:t xml:space="preserve">-</w:t>
      </w:r>
      <w:hyperlink r:id="rId23">
        <w:r w:rsidDel="00000000" w:rsidR="00000000" w:rsidRPr="00000000">
          <w:rPr>
            <w:rFonts w:ascii="Calibri" w:cs="Calibri" w:eastAsia="Calibri" w:hAnsi="Calibri"/>
            <w:color w:val="0000ff"/>
            <w:sz w:val="22"/>
            <w:szCs w:val="22"/>
            <w:u w:val="single"/>
            <w:rtl w:val="0"/>
          </w:rPr>
          <w:t xml:space="preserve">Multicultural – context, identity, and intersectionality</w:t>
        </w:r>
      </w:hyperlink>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rPr>
          <w:rFonts w:ascii="Calibri" w:cs="Calibri" w:eastAsia="Calibri" w:hAnsi="Calibri"/>
          <w:color w:val="0000ff"/>
          <w:sz w:val="22"/>
          <w:szCs w:val="22"/>
        </w:rPr>
      </w:pPr>
      <w:r w:rsidDel="00000000" w:rsidR="00000000" w:rsidRPr="00000000">
        <w:rPr>
          <w:rFonts w:ascii="Calibri" w:cs="Calibri" w:eastAsia="Calibri" w:hAnsi="Calibri"/>
          <w:color w:val="0000ff"/>
          <w:sz w:val="22"/>
          <w:szCs w:val="22"/>
          <w:rtl w:val="0"/>
        </w:rPr>
        <w:tab/>
        <w:t xml:space="preserve">-</w:t>
      </w:r>
      <w:hyperlink r:id="rId24">
        <w:r w:rsidDel="00000000" w:rsidR="00000000" w:rsidRPr="00000000">
          <w:rPr>
            <w:rFonts w:ascii="Calibri" w:cs="Calibri" w:eastAsia="Calibri" w:hAnsi="Calibri"/>
            <w:color w:val="0000ff"/>
            <w:sz w:val="22"/>
            <w:szCs w:val="22"/>
            <w:u w:val="single"/>
            <w:rtl w:val="0"/>
          </w:rPr>
          <w:t xml:space="preserve">Dementia and age-related cognitive change</w:t>
        </w:r>
      </w:hyperlink>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rPr>
          <w:rFonts w:ascii="Calibri" w:cs="Calibri" w:eastAsia="Calibri" w:hAnsi="Calibri"/>
          <w:color w:val="0000ff"/>
          <w:sz w:val="22"/>
          <w:szCs w:val="22"/>
          <w:u w:val="single"/>
        </w:rPr>
      </w:pPr>
      <w:r w:rsidDel="00000000" w:rsidR="00000000" w:rsidRPr="00000000">
        <w:rPr>
          <w:rFonts w:ascii="Calibri" w:cs="Calibri" w:eastAsia="Calibri" w:hAnsi="Calibri"/>
          <w:color w:val="0000ff"/>
          <w:sz w:val="22"/>
          <w:szCs w:val="22"/>
          <w:rtl w:val="0"/>
        </w:rPr>
        <w:tab/>
        <w:t xml:space="preserve">-</w:t>
      </w:r>
      <w:hyperlink r:id="rId25">
        <w:r w:rsidDel="00000000" w:rsidR="00000000" w:rsidRPr="00000000">
          <w:rPr>
            <w:rFonts w:ascii="Calibri" w:cs="Calibri" w:eastAsia="Calibri" w:hAnsi="Calibri"/>
            <w:color w:val="0000ff"/>
            <w:sz w:val="22"/>
            <w:szCs w:val="22"/>
            <w:u w:val="single"/>
            <w:rtl w:val="0"/>
          </w:rPr>
          <w:t xml:space="preserve">Treatment of obesity and overweight children and adolescents</w:t>
        </w:r>
      </w:hyperlink>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rPr>
          <w:rFonts w:ascii="Calibri" w:cs="Calibri" w:eastAsia="Calibri" w:hAnsi="Calibri"/>
          <w:color w:val="0000ff"/>
          <w:sz w:val="22"/>
          <w:szCs w:val="22"/>
        </w:rPr>
      </w:pPr>
      <w:r w:rsidDel="00000000" w:rsidR="00000000" w:rsidRPr="00000000">
        <w:rPr>
          <w:rFonts w:ascii="Calibri" w:cs="Calibri" w:eastAsia="Calibri" w:hAnsi="Calibri"/>
          <w:color w:val="0000ff"/>
          <w:sz w:val="22"/>
          <w:szCs w:val="22"/>
          <w:rtl w:val="0"/>
        </w:rPr>
        <w:tab/>
        <w:t xml:space="preserve">-</w:t>
      </w:r>
      <w:hyperlink r:id="rId26">
        <w:r w:rsidDel="00000000" w:rsidR="00000000" w:rsidRPr="00000000">
          <w:rPr>
            <w:rFonts w:ascii="Calibri" w:cs="Calibri" w:eastAsia="Calibri" w:hAnsi="Calibri"/>
            <w:color w:val="0000ff"/>
            <w:sz w:val="22"/>
            <w:szCs w:val="22"/>
            <w:u w:val="single"/>
            <w:rtl w:val="0"/>
          </w:rPr>
          <w:t xml:space="preserve">Low Income/Economic marginalization</w:t>
        </w:r>
      </w:hyperlink>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rPr>
          <w:rFonts w:ascii="Calibri" w:cs="Calibri" w:eastAsia="Calibri" w:hAnsi="Calibri"/>
          <w:b w:val="1"/>
          <w:bCs w:val="1"/>
          <w:color w:val="000000"/>
          <w:sz w:val="22"/>
          <w:szCs w:val="22"/>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rPr>
          <w:rFonts w:ascii="Calibri" w:cs="Calibri" w:eastAsia="Calibri" w:hAnsi="Calibri"/>
          <w:sz w:val="22"/>
          <w:szCs w:val="22"/>
        </w:rPr>
      </w:pPr>
      <w:r w:rsidDel="00000000" w:rsidR="00000000" w:rsidRPr="00000000">
        <w:rPr>
          <w:rFonts w:ascii="Calibri" w:cs="Calibri" w:eastAsia="Calibri" w:hAnsi="Calibri"/>
          <w:b w:val="1"/>
          <w:bCs w:val="1"/>
          <w:color w:val="000000"/>
          <w:sz w:val="22"/>
          <w:szCs w:val="22"/>
          <w:rtl w:val="0"/>
        </w:rPr>
        <w:t xml:space="preserve">Final Paper</w:t>
      </w:r>
      <w:r w:rsidDel="00000000" w:rsidR="00000000" w:rsidRPr="00000000">
        <w:rPr>
          <w:rFonts w:ascii="Calibri" w:cs="Calibri" w:eastAsia="Calibri" w:hAnsi="Calibri"/>
          <w:sz w:val="22"/>
          <w:szCs w:val="22"/>
          <w:rtl w:val="0"/>
        </w:rPr>
        <w:t xml:space="preserve">– Students will be required to select an assessment instrument or specific treatment and write a 10 to 15-page paper reviewing its use with special populations (including appropriateness as well as an examination of validity or lack thereof). This is both a critical thinking assignment, and a review paper.  For example, the TONI-4 is a nonverbal intelligence test that was developed for use with special populations to assess visual reasoning without underlying verbal mediation. However, the research on its validity suggests it may overestimate deaf children’s nonverbal intelligence. A review of the literature involving the use of the instrument with a specific “special population” should therefore include a discussion of the implications and contraindications for instrument use. Please include no fewer than 10 references. This assignment is worth 40 points or 40% of your grade).</w:t>
      </w:r>
    </w:p>
    <w:p w:rsidR="00000000" w:rsidDel="00000000" w:rsidP="00000000" w:rsidRDefault="00000000" w:rsidRPr="00000000" w14:paraId="000000BB">
      <w:pPr>
        <w:pBdr>
          <w:top w:space="0" w:sz="0" w:val="nil"/>
          <w:left w:space="0" w:sz="0" w:val="nil"/>
          <w:bottom w:space="0" w:sz="0" w:val="nil"/>
          <w:right w:space="0" w:sz="0" w:val="nil"/>
          <w:between w:space="0" w:sz="0" w:val="nil"/>
        </w:pBdr>
        <w:rPr>
          <w:rFonts w:ascii="Calibri" w:cs="Calibri" w:eastAsia="Calibri" w:hAnsi="Calibri"/>
          <w:b w:val="1"/>
          <w:bCs w:val="1"/>
          <w:color w:val="000000"/>
          <w:sz w:val="22"/>
          <w:szCs w:val="22"/>
        </w:rPr>
      </w:pPr>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Grading</w:t>
      </w:r>
    </w:p>
    <w:tbl>
      <w:tblPr>
        <w:tblStyle w:val="Table2"/>
        <w:tblW w:w="8201.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1"/>
        <w:gridCol w:w="2240"/>
        <w:tblGridChange w:id="0">
          <w:tblGrid>
            <w:gridCol w:w="5961"/>
            <w:gridCol w:w="2240"/>
          </w:tblGrid>
        </w:tblGridChange>
      </w:tblGrid>
      <w:tr>
        <w:trPr>
          <w:cantSplit w:val="0"/>
          <w:trHeight w:val="315" w:hRule="atLeast"/>
          <w:tblHeader w:val="0"/>
        </w:trPr>
        <w:tc>
          <w:tcPr>
            <w:tcBorders>
              <w:bottom w:color="000000" w:space="0" w:sz="24" w:val="single"/>
            </w:tcBorders>
            <w:shd w:fill="auto" w:val="clear"/>
            <w:vAlign w:val="center"/>
          </w:tcPr>
          <w:p w:rsidR="00000000" w:rsidDel="00000000" w:rsidP="00000000" w:rsidRDefault="00000000" w:rsidRPr="00000000" w14:paraId="000000BD">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Project/Assignment</w:t>
            </w:r>
          </w:p>
        </w:tc>
        <w:tc>
          <w:tcPr>
            <w:tcBorders>
              <w:bottom w:color="000000" w:space="0" w:sz="24" w:val="single"/>
            </w:tcBorders>
            <w:shd w:fill="auto" w:val="clear"/>
            <w:vAlign w:val="bottom"/>
          </w:tcPr>
          <w:p w:rsidR="00000000" w:rsidDel="00000000" w:rsidP="00000000" w:rsidRDefault="00000000" w:rsidRPr="00000000" w14:paraId="000000BE">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Point Value </w:t>
            </w:r>
          </w:p>
        </w:tc>
      </w:tr>
      <w:tr>
        <w:trPr>
          <w:cantSplit w:val="0"/>
          <w:trHeight w:val="315" w:hRule="atLeast"/>
          <w:tblHeader w:val="0"/>
        </w:trPr>
        <w:tc>
          <w:tcPr>
            <w:tcBorders>
              <w:top w:color="000000" w:space="0" w:sz="24" w:val="single"/>
              <w:bottom w:color="000000" w:space="0" w:sz="24" w:val="single"/>
            </w:tcBorders>
            <w:shd w:fill="auto" w:val="clear"/>
            <w:vAlign w:val="bottom"/>
          </w:tcPr>
          <w:p w:rsidR="00000000" w:rsidDel="00000000" w:rsidP="00000000" w:rsidRDefault="00000000" w:rsidRPr="00000000" w14:paraId="000000BF">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Attendance &amp; Participation</w:t>
            </w:r>
          </w:p>
        </w:tc>
        <w:tc>
          <w:tcPr>
            <w:tcBorders>
              <w:top w:color="000000" w:space="0" w:sz="24" w:val="single"/>
              <w:bottom w:color="000000" w:space="0" w:sz="24" w:val="single"/>
            </w:tcBorders>
            <w:shd w:fill="auto" w:val="clear"/>
            <w:vAlign w:val="center"/>
          </w:tcPr>
          <w:p w:rsidR="00000000" w:rsidDel="00000000" w:rsidP="00000000" w:rsidRDefault="00000000" w:rsidRPr="00000000" w14:paraId="000000C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tc>
      </w:tr>
      <w:tr>
        <w:trPr>
          <w:cantSplit w:val="0"/>
          <w:trHeight w:val="315" w:hRule="atLeast"/>
          <w:tblHeader w:val="0"/>
        </w:trPr>
        <w:tc>
          <w:tcPr>
            <w:tcBorders>
              <w:top w:color="000000" w:space="0" w:sz="24" w:val="single"/>
            </w:tcBorders>
            <w:shd w:fill="auto" w:val="clear"/>
            <w:vAlign w:val="bottom"/>
          </w:tcPr>
          <w:p w:rsidR="00000000" w:rsidDel="00000000" w:rsidP="00000000" w:rsidRDefault="00000000" w:rsidRPr="00000000" w14:paraId="000000C1">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Demystifying Disability Presentation</w:t>
            </w:r>
          </w:p>
        </w:tc>
        <w:tc>
          <w:tcPr>
            <w:tcBorders>
              <w:top w:color="000000" w:space="0" w:sz="24" w:val="single"/>
            </w:tcBorders>
            <w:shd w:fill="auto" w:val="clear"/>
            <w:vAlign w:val="center"/>
          </w:tcPr>
          <w:p w:rsidR="00000000" w:rsidDel="00000000" w:rsidP="00000000" w:rsidRDefault="00000000" w:rsidRPr="00000000" w14:paraId="000000C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tc>
      </w:tr>
      <w:tr>
        <w:trPr>
          <w:cantSplit w:val="0"/>
          <w:trHeight w:val="315" w:hRule="atLeast"/>
          <w:tblHeader w:val="0"/>
        </w:trPr>
        <w:tc>
          <w:tcPr>
            <w:tcBorders>
              <w:top w:color="000000" w:space="0" w:sz="24" w:val="single"/>
            </w:tcBorders>
            <w:shd w:fill="auto" w:val="clear"/>
            <w:vAlign w:val="bottom"/>
          </w:tcPr>
          <w:p w:rsidR="00000000" w:rsidDel="00000000" w:rsidP="00000000" w:rsidRDefault="00000000" w:rsidRPr="00000000" w14:paraId="000000C3">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Problem-Based Learning – Learning Issue Reports (2)</w:t>
            </w:r>
          </w:p>
        </w:tc>
        <w:tc>
          <w:tcPr>
            <w:tcBorders>
              <w:top w:color="000000" w:space="0" w:sz="24" w:val="single"/>
            </w:tcBorders>
            <w:shd w:fill="auto" w:val="clear"/>
            <w:vAlign w:val="center"/>
          </w:tcPr>
          <w:p w:rsidR="00000000" w:rsidDel="00000000" w:rsidP="00000000" w:rsidRDefault="00000000" w:rsidRPr="00000000" w14:paraId="000000C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w:t>
            </w:r>
          </w:p>
        </w:tc>
      </w:tr>
      <w:tr>
        <w:trPr>
          <w:cantSplit w:val="0"/>
          <w:trHeight w:val="315" w:hRule="atLeast"/>
          <w:tblHeader w:val="0"/>
        </w:trPr>
        <w:tc>
          <w:tcPr>
            <w:tcBorders>
              <w:top w:color="000000" w:space="0" w:sz="24" w:val="single"/>
            </w:tcBorders>
            <w:shd w:fill="auto" w:val="clear"/>
            <w:vAlign w:val="bottom"/>
          </w:tcPr>
          <w:p w:rsidR="00000000" w:rsidDel="00000000" w:rsidP="00000000" w:rsidRDefault="00000000" w:rsidRPr="00000000" w14:paraId="000000C5">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Teach-In</w:t>
            </w:r>
          </w:p>
        </w:tc>
        <w:tc>
          <w:tcPr>
            <w:tcBorders>
              <w:top w:color="000000" w:space="0" w:sz="24" w:val="single"/>
            </w:tcBorders>
            <w:shd w:fill="auto" w:val="clear"/>
            <w:vAlign w:val="center"/>
          </w:tcPr>
          <w:p w:rsidR="00000000" w:rsidDel="00000000" w:rsidP="00000000" w:rsidRDefault="00000000" w:rsidRPr="00000000" w14:paraId="000000C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w:t>
            </w:r>
          </w:p>
        </w:tc>
      </w:tr>
      <w:tr>
        <w:trPr>
          <w:cantSplit w:val="0"/>
          <w:trHeight w:val="315" w:hRule="atLeast"/>
          <w:tblHeader w:val="0"/>
        </w:trPr>
        <w:tc>
          <w:tcPr>
            <w:tcBorders>
              <w:top w:color="000000" w:space="0" w:sz="24" w:val="single"/>
            </w:tcBorders>
            <w:shd w:fill="auto" w:val="clear"/>
            <w:vAlign w:val="bottom"/>
          </w:tcPr>
          <w:p w:rsidR="00000000" w:rsidDel="00000000" w:rsidP="00000000" w:rsidRDefault="00000000" w:rsidRPr="00000000" w14:paraId="000000C7">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Final Paper</w:t>
            </w:r>
          </w:p>
        </w:tc>
        <w:tc>
          <w:tcPr>
            <w:tcBorders>
              <w:top w:color="000000" w:space="0" w:sz="24" w:val="single"/>
            </w:tcBorders>
            <w:shd w:fill="auto" w:val="clear"/>
            <w:vAlign w:val="center"/>
          </w:tcPr>
          <w:p w:rsidR="00000000" w:rsidDel="00000000" w:rsidP="00000000" w:rsidRDefault="00000000" w:rsidRPr="00000000" w14:paraId="000000C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40</w:t>
            </w:r>
          </w:p>
        </w:tc>
      </w:tr>
      <w:tr>
        <w:trPr>
          <w:cantSplit w:val="0"/>
          <w:trHeight w:val="315" w:hRule="atLeast"/>
          <w:tblHeader w:val="0"/>
        </w:trPr>
        <w:tc>
          <w:tcPr>
            <w:tcBorders>
              <w:top w:color="000000" w:space="0" w:sz="24" w:val="single"/>
            </w:tcBorders>
            <w:shd w:fill="auto" w:val="clear"/>
            <w:vAlign w:val="bottom"/>
          </w:tcPr>
          <w:p w:rsidR="00000000" w:rsidDel="00000000" w:rsidP="00000000" w:rsidRDefault="00000000" w:rsidRPr="00000000" w14:paraId="000000C9">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Total</w:t>
            </w:r>
          </w:p>
        </w:tc>
        <w:tc>
          <w:tcPr>
            <w:tcBorders>
              <w:top w:color="000000" w:space="0" w:sz="24" w:val="single"/>
            </w:tcBorders>
            <w:shd w:fill="auto" w:val="clear"/>
            <w:vAlign w:val="center"/>
          </w:tcPr>
          <w:p w:rsidR="00000000" w:rsidDel="00000000" w:rsidP="00000000" w:rsidRDefault="00000000" w:rsidRPr="00000000" w14:paraId="000000CA">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100</w:t>
            </w:r>
          </w:p>
        </w:tc>
      </w:tr>
    </w:tbl>
    <w:p w:rsidR="00000000" w:rsidDel="00000000" w:rsidP="00000000" w:rsidRDefault="00000000" w:rsidRPr="00000000" w14:paraId="000000CB">
      <w:pPr>
        <w:widowControl w:val="0"/>
        <w:spacing w:before="9" w:lineRule="auto"/>
        <w:ind w:left="720" w:firstLine="0"/>
        <w:rPr>
          <w:rFonts w:ascii="Calibri" w:cs="Calibri" w:eastAsia="Calibri" w:hAnsi="Calibri"/>
          <w:i w:val="1"/>
          <w:iCs w:val="1"/>
          <w:sz w:val="22"/>
          <w:szCs w:val="22"/>
        </w:rPr>
      </w:pP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rPr>
          <w:color w:val="000000"/>
        </w:rPr>
      </w:pPr>
      <w:r w:rsidDel="00000000" w:rsidR="00000000" w:rsidRPr="00000000">
        <w:rPr>
          <w:rFonts w:ascii="Calibri" w:cs="Calibri" w:eastAsia="Calibri" w:hAnsi="Calibri"/>
          <w:b w:val="1"/>
          <w:bCs w:val="1"/>
          <w:color w:val="000000"/>
          <w:sz w:val="22"/>
          <w:szCs w:val="22"/>
          <w:rtl w:val="0"/>
        </w:rPr>
        <w:t xml:space="preserve">Grading Scale </w:t>
      </w: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rPr>
          <w:color w:val="000000"/>
        </w:rPr>
      </w:pPr>
      <w:r w:rsidDel="00000000" w:rsidR="00000000" w:rsidRPr="00000000">
        <w:rPr>
          <w:rFonts w:ascii="Calibri" w:cs="Calibri" w:eastAsia="Calibri" w:hAnsi="Calibri"/>
          <w:color w:val="000000"/>
          <w:sz w:val="22"/>
          <w:szCs w:val="22"/>
          <w:rtl w:val="0"/>
        </w:rPr>
        <w:t xml:space="preserve">Grade point equivalents (and grading scale values) are presented below. Final scores &gt; .5 will be rounded up.</w:t>
        <w:tab/>
      </w: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ind w:left="1440" w:firstLine="0"/>
        <w:rPr>
          <w:color w:val="000000"/>
        </w:rPr>
      </w:pPr>
      <w:r w:rsidDel="00000000" w:rsidR="00000000" w:rsidRPr="00000000">
        <w:rPr>
          <w:rFonts w:ascii="Calibri" w:cs="Calibri" w:eastAsia="Calibri" w:hAnsi="Calibri"/>
          <w:color w:val="000000"/>
          <w:sz w:val="22"/>
          <w:szCs w:val="22"/>
          <w:rtl w:val="0"/>
        </w:rPr>
        <w:t xml:space="preserve">A = 4.00 (93-100)</w:t>
        <w:tab/>
        <w:t xml:space="preserve">A- = 3.67 (90-92)</w:t>
        <w:tab/>
      </w:r>
      <w:r w:rsidDel="00000000" w:rsidR="00000000" w:rsidRPr="00000000">
        <w:rPr>
          <w:rtl w:val="0"/>
        </w:rPr>
      </w:r>
    </w:p>
    <w:p w:rsidR="00000000" w:rsidDel="00000000" w:rsidP="00000000" w:rsidRDefault="00000000" w:rsidRPr="00000000" w14:paraId="000000CF">
      <w:pPr>
        <w:pBdr>
          <w:top w:space="0" w:sz="0" w:val="nil"/>
          <w:left w:space="0" w:sz="0" w:val="nil"/>
          <w:bottom w:space="0" w:sz="0" w:val="nil"/>
          <w:right w:space="0" w:sz="0" w:val="nil"/>
          <w:between w:space="0" w:sz="0" w:val="nil"/>
        </w:pBdr>
        <w:ind w:left="720" w:firstLine="720"/>
        <w:rPr>
          <w:color w:val="000000"/>
        </w:rPr>
      </w:pPr>
      <w:r w:rsidDel="00000000" w:rsidR="00000000" w:rsidRPr="00000000">
        <w:rPr>
          <w:rFonts w:ascii="Calibri" w:cs="Calibri" w:eastAsia="Calibri" w:hAnsi="Calibri"/>
          <w:color w:val="000000"/>
          <w:sz w:val="22"/>
          <w:szCs w:val="22"/>
          <w:rtl w:val="0"/>
        </w:rPr>
        <w:t xml:space="preserve">B+ = 3.33 (88-89)</w:t>
        <w:tab/>
        <w:t xml:space="preserve">B = 3.00 (83-87)</w:t>
        <w:tab/>
        <w:tab/>
        <w:t xml:space="preserve">B- = 2.67 (80-82)</w:t>
        <w:tab/>
      </w: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ind w:left="720" w:firstLine="720"/>
        <w:rPr>
          <w:color w:val="000000"/>
        </w:rPr>
      </w:pPr>
      <w:r w:rsidDel="00000000" w:rsidR="00000000" w:rsidRPr="00000000">
        <w:rPr>
          <w:rFonts w:ascii="Calibri" w:cs="Calibri" w:eastAsia="Calibri" w:hAnsi="Calibri"/>
          <w:color w:val="000000"/>
          <w:sz w:val="22"/>
          <w:szCs w:val="22"/>
          <w:rtl w:val="0"/>
        </w:rPr>
        <w:t xml:space="preserve">C = 2.00 (70-79); Failed - No credit given</w:t>
        <w:tab/>
        <w:tab/>
        <w:t xml:space="preserve">F = 0.00 (</w:t>
      </w:r>
      <w:r w:rsidDel="00000000" w:rsidR="00000000" w:rsidRPr="00000000">
        <w:rPr>
          <w:rFonts w:ascii="Calibri" w:cs="Calibri" w:eastAsia="Calibri" w:hAnsi="Calibri"/>
          <w:color w:val="000000"/>
          <w:sz w:val="22"/>
          <w:szCs w:val="22"/>
          <w:u w:val="single"/>
          <w:rtl w:val="0"/>
        </w:rPr>
        <w:t xml:space="preserve">&lt;</w:t>
      </w:r>
      <w:r w:rsidDel="00000000" w:rsidR="00000000" w:rsidRPr="00000000">
        <w:rPr>
          <w:rFonts w:ascii="Calibri" w:cs="Calibri" w:eastAsia="Calibri" w:hAnsi="Calibri"/>
          <w:color w:val="000000"/>
          <w:sz w:val="22"/>
          <w:szCs w:val="22"/>
          <w:rtl w:val="0"/>
        </w:rPr>
        <w:t xml:space="preserve"> 69); Failed - No credit given</w:t>
      </w:r>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pBdr>
          <w:top w:space="0" w:sz="0" w:val="nil"/>
          <w:left w:space="0" w:sz="0" w:val="nil"/>
          <w:bottom w:space="0" w:sz="0" w:val="nil"/>
          <w:right w:space="0" w:sz="0" w:val="nil"/>
          <w:between w:space="0" w:sz="0" w:val="nil"/>
        </w:pBdr>
        <w:rPr>
          <w:color w:val="000000"/>
        </w:rPr>
      </w:pPr>
      <w:r w:rsidDel="00000000" w:rsidR="00000000" w:rsidRPr="00000000">
        <w:rPr>
          <w:rFonts w:ascii="Calibri" w:cs="Calibri" w:eastAsia="Calibri" w:hAnsi="Calibri"/>
          <w:b w:val="1"/>
          <w:bCs w:val="1"/>
          <w:color w:val="000000"/>
          <w:sz w:val="22"/>
          <w:szCs w:val="22"/>
          <w:rtl w:val="0"/>
        </w:rPr>
        <w:t xml:space="preserve">Course Policies </w:t>
      </w:r>
      <w:r w:rsidDel="00000000" w:rsidR="00000000" w:rsidRPr="00000000">
        <w:rPr>
          <w:rtl w:val="0"/>
        </w:rPr>
      </w:r>
    </w:p>
    <w:p w:rsidR="00000000" w:rsidDel="00000000" w:rsidP="00000000" w:rsidRDefault="00000000" w:rsidRPr="00000000" w14:paraId="000000D5">
      <w:pPr>
        <w:rPr>
          <w:rFonts w:ascii="Calibri" w:cs="Calibri" w:eastAsia="Calibri" w:hAnsi="Calibri"/>
          <w:b w:val="1"/>
          <w:bCs w:val="1"/>
          <w:sz w:val="22"/>
          <w:szCs w:val="22"/>
        </w:rPr>
      </w:pPr>
      <w:bookmarkStart w:colFirst="0" w:colLast="0" w:name="_heading=h.1t3h5sf" w:id="7"/>
      <w:bookmarkEnd w:id="7"/>
      <w:r w:rsidDel="00000000" w:rsidR="00000000" w:rsidRPr="00000000">
        <w:rPr>
          <w:rFonts w:ascii="Calibri" w:cs="Calibri" w:eastAsia="Calibri" w:hAnsi="Calibri"/>
          <w:b w:val="1"/>
          <w:bCs w:val="1"/>
          <w:sz w:val="22"/>
          <w:szCs w:val="22"/>
          <w:rtl w:val="0"/>
        </w:rPr>
        <w:t xml:space="preserve">Instructional Contact and Credit Hours </w:t>
      </w:r>
    </w:p>
    <w:p w:rsidR="00000000" w:rsidDel="00000000" w:rsidP="00000000" w:rsidRDefault="00000000" w:rsidRPr="00000000" w14:paraId="000000D6">
      <w:pPr>
        <w:rPr>
          <w:rFonts w:ascii="Calibri" w:cs="Calibri" w:eastAsia="Calibri" w:hAnsi="Calibri"/>
          <w:sz w:val="22"/>
          <w:szCs w:val="22"/>
        </w:rPr>
      </w:pPr>
      <w:bookmarkStart w:colFirst="0" w:colLast="0" w:name="_heading=h.26in1rg" w:id="8"/>
      <w:bookmarkEnd w:id="8"/>
      <w:r w:rsidDel="00000000" w:rsidR="00000000" w:rsidRPr="00000000">
        <w:rPr>
          <w:rFonts w:ascii="Calibri" w:cs="Calibri" w:eastAsia="Calibri" w:hAnsi="Calibri"/>
          <w:sz w:val="22"/>
          <w:szCs w:val="22"/>
          <w:rtl w:val="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 hours of engagement, regardless of varying credits, duration, modality, or degree level. This equates to one hour of classroom or direct faculty instruction and a minimum of two hours of out-of-class student work each week for approximately fifteen weeks for one semester. Terms that have alternative lengths, such as 10-week terms, should have an equivalent amount of faculty instruction and out-of-class student work to meet each credit hour. Direct instructor engagement and out-of-class work result in total student engagement time of 45 hours for one credit. The number of engagement hours may be higher, as needed to meet specific learning outcomes. 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rsidR="00000000" w:rsidDel="00000000" w:rsidP="00000000" w:rsidRDefault="00000000" w:rsidRPr="00000000" w14:paraId="000000D7">
      <w:pPr>
        <w:rPr>
          <w:rFonts w:ascii="Calibri" w:cs="Calibri" w:eastAsia="Calibri" w:hAnsi="Calibri"/>
          <w:b w:val="1"/>
          <w:bCs w:val="1"/>
          <w:sz w:val="22"/>
          <w:szCs w:val="22"/>
          <w:highlight w:val="yellow"/>
        </w:rPr>
      </w:pPr>
      <w:r w:rsidDel="00000000" w:rsidR="00000000" w:rsidRPr="00000000">
        <w:rPr>
          <w:rtl w:val="0"/>
        </w:rPr>
      </w:r>
    </w:p>
    <w:p w:rsidR="00000000" w:rsidDel="00000000" w:rsidP="00000000" w:rsidRDefault="00000000" w:rsidRPr="00000000" w14:paraId="000000D8">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Course Policies </w:t>
      </w:r>
    </w:p>
    <w:p w:rsidR="00000000" w:rsidDel="00000000" w:rsidP="00000000" w:rsidRDefault="00000000" w:rsidRPr="00000000" w14:paraId="000000D9">
      <w:pPr>
        <w:rPr>
          <w:rFonts w:ascii="Calibri" w:cs="Calibri" w:eastAsia="Calibri" w:hAnsi="Calibri"/>
          <w:sz w:val="22"/>
          <w:szCs w:val="22"/>
        </w:rPr>
      </w:pPr>
      <w:bookmarkStart w:colFirst="0" w:colLast="0" w:name="_heading=h.4d34og8" w:id="9"/>
      <w:bookmarkEnd w:id="9"/>
      <w:r w:rsidDel="00000000" w:rsidR="00000000" w:rsidRPr="00000000">
        <w:rPr>
          <w:rFonts w:ascii="Calibri" w:cs="Calibri" w:eastAsia="Calibri" w:hAnsi="Calibri"/>
          <w:b w:val="1"/>
          <w:bCs w:val="1"/>
          <w:i w:val="1"/>
          <w:iCs w:val="1"/>
          <w:sz w:val="22"/>
          <w:szCs w:val="22"/>
          <w:rtl w:val="0"/>
        </w:rPr>
        <w:t xml:space="preserve">Instructor and Student Communication:</w:t>
      </w:r>
      <w:r w:rsidDel="00000000" w:rsidR="00000000" w:rsidRPr="00000000">
        <w:rPr>
          <w:rFonts w:ascii="Calibri" w:cs="Calibri" w:eastAsia="Calibri" w:hAnsi="Calibri"/>
          <w:sz w:val="22"/>
          <w:szCs w:val="22"/>
          <w:rtl w:val="0"/>
        </w:rPr>
        <w:t xml:space="preserve"> Questions for this course can be emailed to the instructor.  Online, in-person, and phone conferences can be arranged. Response time is up to 2 days.</w:t>
        <w:br w:type="textWrapping"/>
        <w:br w:type="textWrapping"/>
      </w:r>
      <w:r w:rsidDel="00000000" w:rsidR="00000000" w:rsidRPr="00000000">
        <w:rPr>
          <w:rFonts w:ascii="Calibri" w:cs="Calibri" w:eastAsia="Calibri" w:hAnsi="Calibri"/>
          <w:b w:val="1"/>
          <w:bCs w:val="1"/>
          <w:i w:val="1"/>
          <w:iCs w:val="1"/>
          <w:sz w:val="22"/>
          <w:szCs w:val="22"/>
          <w:rtl w:val="0"/>
        </w:rPr>
        <w:t xml:space="preserve">Cell phones, tablets, and laptops:</w:t>
      </w:r>
      <w:r w:rsidDel="00000000" w:rsidR="00000000" w:rsidRPr="00000000">
        <w:rPr>
          <w:rFonts w:ascii="Calibri" w:cs="Calibri" w:eastAsia="Calibri" w:hAnsi="Calibri"/>
          <w:sz w:val="22"/>
          <w:szCs w:val="22"/>
          <w:rtl w:val="0"/>
        </w:rPr>
        <w:t xml:space="preserve"> 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rsidR="00000000" w:rsidDel="00000000" w:rsidP="00000000" w:rsidRDefault="00000000" w:rsidRPr="00000000" w14:paraId="000000DA">
      <w:pPr>
        <w:rPr>
          <w:rFonts w:ascii="Calibri" w:cs="Calibri" w:eastAsia="Calibri" w:hAnsi="Calibri"/>
          <w:b w:val="1"/>
          <w:bCs w:val="1"/>
          <w:sz w:val="22"/>
          <w:szCs w:val="22"/>
        </w:rPr>
      </w:pPr>
      <w:bookmarkStart w:colFirst="0" w:colLast="0" w:name="_heading=h.2s8eyo1" w:id="10"/>
      <w:bookmarkEnd w:id="10"/>
      <w:r w:rsidDel="00000000" w:rsidR="00000000" w:rsidRPr="00000000">
        <w:rPr>
          <w:rtl w:val="0"/>
        </w:rPr>
      </w:r>
    </w:p>
    <w:p w:rsidR="00000000" w:rsidDel="00000000" w:rsidP="00000000" w:rsidRDefault="00000000" w:rsidRPr="00000000" w14:paraId="000000DB">
      <w:pPr>
        <w:rPr>
          <w:rFonts w:ascii="Calibri" w:cs="Calibri" w:eastAsia="Calibri" w:hAnsi="Calibri"/>
          <w:b w:val="1"/>
          <w:bCs w:val="1"/>
          <w:i w:val="1"/>
          <w:iCs w:val="1"/>
          <w:sz w:val="22"/>
          <w:szCs w:val="22"/>
        </w:rPr>
      </w:pPr>
      <w:r w:rsidDel="00000000" w:rsidR="00000000" w:rsidRPr="00000000">
        <w:rPr>
          <w:rFonts w:ascii="Calibri" w:cs="Calibri" w:eastAsia="Calibri" w:hAnsi="Calibri"/>
          <w:b w:val="1"/>
          <w:bCs w:val="1"/>
          <w:i w:val="1"/>
          <w:iCs w:val="1"/>
          <w:sz w:val="22"/>
          <w:szCs w:val="22"/>
          <w:rtl w:val="0"/>
        </w:rPr>
        <w:t xml:space="preserve">Student with Disabilities Statement:</w:t>
      </w:r>
    </w:p>
    <w:p w:rsidR="00000000" w:rsidDel="00000000" w:rsidP="00000000" w:rsidRDefault="00000000" w:rsidRPr="00000000" w14:paraId="000000D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Chaminade University of Honolulu offers accommodations for all actively enrolled students with disabilities in compliance with Section 504 of the Rehabilitation Act of 1973, the Americans with Disabilities Act (ADA) of 1990, and the ADA Amendments Act (2008). Students are responsible for contacting Kōkua ʻIke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Kōkua ʻIke via email at </w:t>
      </w:r>
      <w:hyperlink r:id="rId27">
        <w:r w:rsidDel="00000000" w:rsidR="00000000" w:rsidRPr="00000000">
          <w:rPr>
            <w:rFonts w:ascii="Calibri" w:cs="Calibri" w:eastAsia="Calibri" w:hAnsi="Calibri"/>
            <w:color w:val="0000ff"/>
            <w:sz w:val="22"/>
            <w:szCs w:val="22"/>
            <w:u w:val="single"/>
            <w:rtl w:val="0"/>
          </w:rPr>
          <w:t xml:space="preserve">ada@chaminade.edu</w:t>
        </w:r>
      </w:hyperlink>
      <w:r w:rsidDel="00000000" w:rsidR="00000000" w:rsidRPr="00000000">
        <w:rPr>
          <w:rFonts w:ascii="Calibri" w:cs="Calibri" w:eastAsia="Calibri" w:hAnsi="Calibri"/>
          <w:sz w:val="22"/>
          <w:szCs w:val="22"/>
          <w:rtl w:val="0"/>
        </w:rPr>
        <w:t xml:space="preserve"> each semester if changes or notifications are needed.</w:t>
      </w:r>
    </w:p>
    <w:p w:rsidR="00000000" w:rsidDel="00000000" w:rsidP="00000000" w:rsidRDefault="00000000" w:rsidRPr="00000000" w14:paraId="000000DD">
      <w:pPr>
        <w:rPr>
          <w:rFonts w:ascii="Calibri" w:cs="Calibri" w:eastAsia="Calibri" w:hAnsi="Calibri"/>
          <w:b w:val="1"/>
          <w:bCs w:val="1"/>
          <w:i w:val="1"/>
          <w:iCs w:val="1"/>
          <w:sz w:val="22"/>
          <w:szCs w:val="22"/>
        </w:rPr>
      </w:pPr>
      <w:r w:rsidDel="00000000" w:rsidR="00000000" w:rsidRPr="00000000">
        <w:rPr>
          <w:rtl w:val="0"/>
        </w:rPr>
      </w:r>
    </w:p>
    <w:p w:rsidR="00000000" w:rsidDel="00000000" w:rsidP="00000000" w:rsidRDefault="00000000" w:rsidRPr="00000000" w14:paraId="000000DE">
      <w:pPr>
        <w:rPr>
          <w:rFonts w:ascii="Calibri" w:cs="Calibri" w:eastAsia="Calibri" w:hAnsi="Calibri"/>
          <w:b w:val="1"/>
          <w:bCs w:val="1"/>
          <w:i w:val="1"/>
          <w:iCs w:val="1"/>
          <w:sz w:val="22"/>
          <w:szCs w:val="22"/>
        </w:rPr>
      </w:pPr>
      <w:r w:rsidDel="00000000" w:rsidR="00000000" w:rsidRPr="00000000">
        <w:rPr>
          <w:rFonts w:ascii="Calibri" w:cs="Calibri" w:eastAsia="Calibri" w:hAnsi="Calibri"/>
          <w:b w:val="1"/>
          <w:bCs w:val="1"/>
          <w:i w:val="1"/>
          <w:iCs w:val="1"/>
          <w:sz w:val="22"/>
          <w:szCs w:val="22"/>
          <w:rtl w:val="0"/>
        </w:rPr>
        <w:t xml:space="preserve">Kōkua ʻIke: Tutoring &amp; Learning Services</w:t>
      </w:r>
    </w:p>
    <w:p w:rsidR="00000000" w:rsidDel="00000000" w:rsidP="00000000" w:rsidRDefault="00000000" w:rsidRPr="00000000" w14:paraId="000000D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Kōkua ʻIke’s 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tutoring@chaminade.edu or 808-739-8305.</w:t>
      </w:r>
    </w:p>
    <w:p w:rsidR="00000000" w:rsidDel="00000000" w:rsidP="00000000" w:rsidRDefault="00000000" w:rsidRPr="00000000" w14:paraId="000000E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1">
      <w:pPr>
        <w:rPr>
          <w:rFonts w:ascii="Calibri" w:cs="Calibri" w:eastAsia="Calibri" w:hAnsi="Calibri"/>
          <w:b w:val="1"/>
          <w:bCs w:val="1"/>
          <w:i w:val="1"/>
          <w:iCs w:val="1"/>
          <w:sz w:val="22"/>
          <w:szCs w:val="22"/>
        </w:rPr>
      </w:pPr>
      <w:bookmarkStart w:colFirst="0" w:colLast="0" w:name="_heading=h.17dp8vu" w:id="11"/>
      <w:bookmarkEnd w:id="11"/>
      <w:r w:rsidDel="00000000" w:rsidR="00000000" w:rsidRPr="00000000">
        <w:rPr>
          <w:rFonts w:ascii="Calibri" w:cs="Calibri" w:eastAsia="Calibri" w:hAnsi="Calibri"/>
          <w:b w:val="1"/>
          <w:bCs w:val="1"/>
          <w:i w:val="1"/>
          <w:iCs w:val="1"/>
          <w:sz w:val="22"/>
          <w:szCs w:val="22"/>
          <w:rtl w:val="0"/>
        </w:rPr>
        <w:t xml:space="preserve">Title IX and Nondiscrimination Statement:</w:t>
      </w:r>
    </w:p>
    <w:p w:rsidR="00000000" w:rsidDel="00000000" w:rsidP="00000000" w:rsidRDefault="00000000" w:rsidRPr="00000000" w14:paraId="000000E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rsidR="00000000" w:rsidDel="00000000" w:rsidP="00000000" w:rsidRDefault="00000000" w:rsidRPr="00000000" w14:paraId="000000E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4">
      <w:pPr>
        <w:rPr>
          <w:rFonts w:ascii="Calibri" w:cs="Calibri" w:eastAsia="Calibri" w:hAnsi="Calibri"/>
          <w:b w:val="1"/>
          <w:bCs w:val="1"/>
          <w:i w:val="1"/>
          <w:iCs w:val="1"/>
          <w:sz w:val="22"/>
          <w:szCs w:val="22"/>
        </w:rPr>
      </w:pPr>
      <w:r w:rsidDel="00000000" w:rsidR="00000000" w:rsidRPr="00000000">
        <w:rPr>
          <w:rFonts w:ascii="Calibri" w:cs="Calibri" w:eastAsia="Calibri" w:hAnsi="Calibri"/>
          <w:b w:val="1"/>
          <w:bCs w:val="1"/>
          <w:i w:val="1"/>
          <w:iCs w:val="1"/>
          <w:sz w:val="22"/>
          <w:szCs w:val="22"/>
          <w:rtl w:val="0"/>
        </w:rPr>
        <w:t xml:space="preserve">Nondiscrimination Policy &amp; Notice of Nondiscrimination:</w:t>
      </w:r>
    </w:p>
    <w:p w:rsidR="00000000" w:rsidDel="00000000" w:rsidP="00000000" w:rsidRDefault="00000000" w:rsidRPr="00000000" w14:paraId="000000E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Chaminade University Title IX Office Contact Information and Confidential Resources website. On-campus Confidential Resources may also be found here at CAMPUS CONFIDENTIAL RESOURCES. The University’s Nondiscrimination Policy and Grievance Procedures can be located on the University webpage at: </w:t>
      </w:r>
      <w:hyperlink r:id="rId28">
        <w:r w:rsidDel="00000000" w:rsidR="00000000" w:rsidRPr="00000000">
          <w:rPr>
            <w:rFonts w:ascii="Calibri" w:cs="Calibri" w:eastAsia="Calibri" w:hAnsi="Calibri"/>
            <w:color w:val="0000ff"/>
            <w:sz w:val="22"/>
            <w:szCs w:val="22"/>
            <w:u w:val="single"/>
            <w:rtl w:val="0"/>
          </w:rPr>
          <w:t xml:space="preserve">https://chaminade.edu/compliance/title-ix-nondiscrimination-policies-procedures/</w:t>
        </w:r>
      </w:hyperlink>
      <w:r w:rsidDel="00000000" w:rsidR="00000000" w:rsidRPr="00000000">
        <w:rPr>
          <w:rFonts w:ascii="Calibri" w:cs="Calibri" w:eastAsia="Calibri" w:hAnsi="Calibri"/>
          <w:sz w:val="22"/>
          <w:szCs w:val="22"/>
          <w:rtl w:val="0"/>
        </w:rPr>
        <w:t xml:space="preserve">. To report information about conduct that may constitute sex discrimination or make a complaint of sex discrimination under Title IX, please refer to the Campus Incident Report form. Chaminade University of Honolulu prohibits sex discrimination in any education program or activity that it operates. The NOTICE of NONDISCRIMINATION can be found here: Notice of Nondiscrimination.</w:t>
      </w:r>
    </w:p>
    <w:p w:rsidR="00000000" w:rsidDel="00000000" w:rsidP="00000000" w:rsidRDefault="00000000" w:rsidRPr="00000000" w14:paraId="000000E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7">
      <w:pPr>
        <w:rPr>
          <w:rFonts w:ascii="Calibri" w:cs="Calibri" w:eastAsia="Calibri" w:hAnsi="Calibri"/>
          <w:b w:val="1"/>
          <w:bCs w:val="1"/>
          <w:i w:val="1"/>
          <w:iCs w:val="1"/>
          <w:sz w:val="22"/>
          <w:szCs w:val="22"/>
        </w:rPr>
      </w:pPr>
      <w:r w:rsidDel="00000000" w:rsidR="00000000" w:rsidRPr="00000000">
        <w:rPr>
          <w:rFonts w:ascii="Calibri" w:cs="Calibri" w:eastAsia="Calibri" w:hAnsi="Calibri"/>
          <w:b w:val="1"/>
          <w:bCs w:val="1"/>
          <w:i w:val="1"/>
          <w:iCs w:val="1"/>
          <w:sz w:val="22"/>
          <w:szCs w:val="22"/>
          <w:rtl w:val="0"/>
        </w:rPr>
        <w:t xml:space="preserve">CUH Alert Emergency Notification:</w:t>
      </w:r>
    </w:p>
    <w:p w:rsidR="00000000" w:rsidDel="00000000" w:rsidP="00000000" w:rsidRDefault="00000000" w:rsidRPr="00000000" w14:paraId="000000E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rsidR="00000000" w:rsidDel="00000000" w:rsidP="00000000" w:rsidRDefault="00000000" w:rsidRPr="00000000" w14:paraId="000000E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A">
      <w:pPr>
        <w:rPr>
          <w:rFonts w:ascii="Calibri" w:cs="Calibri" w:eastAsia="Calibri" w:hAnsi="Calibri"/>
          <w:b w:val="1"/>
          <w:bCs w:val="1"/>
          <w:i w:val="1"/>
          <w:iCs w:val="1"/>
          <w:sz w:val="22"/>
          <w:szCs w:val="22"/>
        </w:rPr>
      </w:pPr>
      <w:r w:rsidDel="00000000" w:rsidR="00000000" w:rsidRPr="00000000">
        <w:rPr>
          <w:rFonts w:ascii="Calibri" w:cs="Calibri" w:eastAsia="Calibri" w:hAnsi="Calibri"/>
          <w:b w:val="1"/>
          <w:bCs w:val="1"/>
          <w:i w:val="1"/>
          <w:iCs w:val="1"/>
          <w:sz w:val="22"/>
          <w:szCs w:val="22"/>
          <w:rtl w:val="0"/>
        </w:rPr>
        <w:t xml:space="preserve">Assessment for Student Work:</w:t>
      </w:r>
    </w:p>
    <w:p w:rsidR="00000000" w:rsidDel="00000000" w:rsidP="00000000" w:rsidRDefault="00000000" w:rsidRPr="00000000" w14:paraId="000000E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 </w:t>
      </w:r>
    </w:p>
    <w:p w:rsidR="00000000" w:rsidDel="00000000" w:rsidP="00000000" w:rsidRDefault="00000000" w:rsidRPr="00000000" w14:paraId="000000EC">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D">
      <w:pPr>
        <w:rPr>
          <w:rFonts w:ascii="Calibri" w:cs="Calibri" w:eastAsia="Calibri" w:hAnsi="Calibri"/>
          <w:sz w:val="22"/>
          <w:szCs w:val="22"/>
        </w:rPr>
      </w:pPr>
      <w:r w:rsidDel="00000000" w:rsidR="00000000" w:rsidRPr="00000000">
        <w:rPr>
          <w:rFonts w:ascii="Calibri" w:cs="Calibri" w:eastAsia="Calibri" w:hAnsi="Calibri"/>
          <w:b w:val="1"/>
          <w:bCs w:val="1"/>
          <w:i w:val="1"/>
          <w:iCs w:val="1"/>
          <w:sz w:val="22"/>
          <w:szCs w:val="22"/>
          <w:rtl w:val="0"/>
        </w:rPr>
        <w:t xml:space="preserve">Attendance Policy:</w:t>
      </w:r>
      <w:r w:rsidDel="00000000" w:rsidR="00000000" w:rsidRPr="00000000">
        <w:rPr>
          <w:rFonts w:ascii="Calibri" w:cs="Calibri" w:eastAsia="Calibri" w:hAnsi="Calibri"/>
          <w:sz w:val="22"/>
          <w:szCs w:val="22"/>
          <w:rtl w:val="0"/>
        </w:rPr>
        <w:t xml:space="preserve"> Students are expected to attend regularly all courses for which they are registered. Student should notify their instructors when illness or other extenuating circumstances prevent them from attending class, and they should arrange to obtain missed information and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000000" w:rsidDel="00000000" w:rsidP="00000000" w:rsidRDefault="00000000" w:rsidRPr="00000000" w14:paraId="000000E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Students may be automatically withdrawn from the class or receive a failing grade if there are three or more absences in a 16-week term or two absences in a row in a 16-week term. With the condensed nature of the 8-week terms, missing class one day (e.g., 6-hours of class) would be equivalent to two absences in a 16-week term. </w:t>
      </w:r>
    </w:p>
    <w:p w:rsidR="00000000" w:rsidDel="00000000" w:rsidP="00000000" w:rsidRDefault="00000000" w:rsidRPr="00000000" w14:paraId="000000F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options. Anyone who stops attending a course without an official withdrawal may receive a failing grade or be withdrawn by the instructor at the instructor’s discretion.</w:t>
      </w:r>
    </w:p>
    <w:p w:rsidR="00000000" w:rsidDel="00000000" w:rsidP="00000000" w:rsidRDefault="00000000" w:rsidRPr="00000000" w14:paraId="000000F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3">
      <w:pPr>
        <w:rPr>
          <w:rFonts w:ascii="Calibri" w:cs="Calibri" w:eastAsia="Calibri" w:hAnsi="Calibri"/>
          <w:b w:val="1"/>
          <w:bCs w:val="1"/>
          <w:i w:val="1"/>
          <w:iCs w:val="1"/>
          <w:sz w:val="22"/>
          <w:szCs w:val="22"/>
        </w:rPr>
      </w:pPr>
      <w:r w:rsidDel="00000000" w:rsidR="00000000" w:rsidRPr="00000000">
        <w:rPr>
          <w:rtl w:val="0"/>
        </w:rPr>
      </w:r>
    </w:p>
    <w:p w:rsidR="00000000" w:rsidDel="00000000" w:rsidP="00000000" w:rsidRDefault="00000000" w:rsidRPr="00000000" w14:paraId="000000F4">
      <w:pPr>
        <w:rPr>
          <w:rFonts w:ascii="Calibri" w:cs="Calibri" w:eastAsia="Calibri" w:hAnsi="Calibri"/>
          <w:b w:val="1"/>
          <w:bCs w:val="1"/>
          <w:i w:val="1"/>
          <w:iCs w:val="1"/>
          <w:sz w:val="22"/>
          <w:szCs w:val="22"/>
        </w:rPr>
      </w:pPr>
      <w:r w:rsidDel="00000000" w:rsidR="00000000" w:rsidRPr="00000000">
        <w:rPr>
          <w:rFonts w:ascii="Calibri" w:cs="Calibri" w:eastAsia="Calibri" w:hAnsi="Calibri"/>
          <w:b w:val="1"/>
          <w:bCs w:val="1"/>
          <w:i w:val="1"/>
          <w:iCs w:val="1"/>
          <w:sz w:val="22"/>
          <w:szCs w:val="22"/>
          <w:rtl w:val="0"/>
        </w:rPr>
        <w:t xml:space="preserve">Professionalism with Class Topics and Discussions:</w:t>
      </w:r>
    </w:p>
    <w:p w:rsidR="00000000" w:rsidDel="00000000" w:rsidP="00000000" w:rsidRDefault="00000000" w:rsidRPr="00000000" w14:paraId="000000F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It is anticipated that in the course of students’ graduate education in clinical psychology, they will have emotional reactions to class topics and discussions. Recognizing, understanding, and managing one’s internal states is an integral part of one’s professional responsibility. In the event that affective reactions become overwhelming, students are expected to manage their reactivity as they would as a practicing professional, subsequently discussing it with professors/supervisors and seeking informal and/or formal support. Similarly, it is the student’s responsibility to notify the professor of potential issues, so they can address them (e.g., using the correct pronouns, pronouncing names/words correctly, awareness of triggering content). Self-disclosure is considered voluntary and at the discretion of the student. Additionally, it is expected that peers be mindful and respectful of disclosures of others, keeping shared information confidential.</w:t>
      </w:r>
    </w:p>
    <w:p w:rsidR="00000000" w:rsidDel="00000000" w:rsidP="00000000" w:rsidRDefault="00000000" w:rsidRPr="00000000" w14:paraId="000000F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7">
      <w:pPr>
        <w:rPr>
          <w:rFonts w:ascii="Calibri" w:cs="Calibri" w:eastAsia="Calibri" w:hAnsi="Calibri"/>
          <w:b w:val="1"/>
          <w:bCs w:val="1"/>
          <w:i w:val="1"/>
          <w:iCs w:val="1"/>
          <w:sz w:val="22"/>
          <w:szCs w:val="22"/>
        </w:rPr>
      </w:pPr>
      <w:r w:rsidDel="00000000" w:rsidR="00000000" w:rsidRPr="00000000">
        <w:rPr>
          <w:rFonts w:ascii="Calibri" w:cs="Calibri" w:eastAsia="Calibri" w:hAnsi="Calibri"/>
          <w:b w:val="1"/>
          <w:bCs w:val="1"/>
          <w:i w:val="1"/>
          <w:iCs w:val="1"/>
          <w:sz w:val="22"/>
          <w:szCs w:val="22"/>
          <w:rtl w:val="0"/>
        </w:rPr>
        <w:t xml:space="preserve">Academic Honesty: </w:t>
      </w:r>
    </w:p>
    <w:p w:rsidR="00000000" w:rsidDel="00000000" w:rsidP="00000000" w:rsidRDefault="00000000" w:rsidRPr="00000000" w14:paraId="000000F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 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 For the most up to date information, please refer to the Academic Honesty Policy on the Chaminade University Catalog website.</w:t>
      </w:r>
    </w:p>
    <w:p w:rsidR="00000000" w:rsidDel="00000000" w:rsidP="00000000" w:rsidRDefault="00000000" w:rsidRPr="00000000" w14:paraId="000000F9">
      <w:pPr>
        <w:rPr>
          <w:rFonts w:ascii="Calibri" w:cs="Calibri" w:eastAsia="Calibri" w:hAnsi="Calibri"/>
          <w:sz w:val="22"/>
          <w:szCs w:val="22"/>
          <w:u w:val="single"/>
        </w:rPr>
      </w:pPr>
      <w:r w:rsidDel="00000000" w:rsidR="00000000" w:rsidRPr="00000000">
        <w:rPr>
          <w:rFonts w:ascii="Calibri" w:cs="Calibri" w:eastAsia="Calibri" w:hAnsi="Calibri"/>
          <w:b w:val="1"/>
          <w:bCs w:val="1"/>
          <w:i w:val="1"/>
          <w:iCs w:val="1"/>
          <w:sz w:val="22"/>
          <w:szCs w:val="22"/>
          <w:rtl w:val="0"/>
        </w:rPr>
        <w:t xml:space="preserve"> </w:t>
      </w:r>
      <w:r w:rsidDel="00000000" w:rsidR="00000000" w:rsidRPr="00000000">
        <w:rPr>
          <w:rtl w:val="0"/>
        </w:rPr>
      </w:r>
    </w:p>
    <w:p w:rsidR="00000000" w:rsidDel="00000000" w:rsidP="00000000" w:rsidRDefault="00000000" w:rsidRPr="00000000" w14:paraId="000000FA">
      <w:pPr>
        <w:rPr>
          <w:rFonts w:ascii="Calibri" w:cs="Calibri" w:eastAsia="Calibri" w:hAnsi="Calibri"/>
          <w:sz w:val="22"/>
          <w:szCs w:val="22"/>
        </w:rPr>
      </w:pPr>
      <w:bookmarkStart w:colFirst="0" w:colLast="0" w:name="_heading=h.3rdcrjn" w:id="12"/>
      <w:bookmarkEnd w:id="12"/>
      <w:r w:rsidDel="00000000" w:rsidR="00000000" w:rsidRPr="00000000">
        <w:rPr>
          <w:rFonts w:ascii="Calibri" w:cs="Calibri" w:eastAsia="Calibri" w:hAnsi="Calibri"/>
          <w:sz w:val="22"/>
          <w:szCs w:val="22"/>
          <w:rtl w:val="0"/>
        </w:rPr>
        <w:t xml:space="preserve">Unless expressed in writing via a university accommodation, all course information, content, and materials in any medium (including but not limited to notes, slides, recordings, electronic files, and verbal discussions and presentations) are prohibited from being intentionally or unintentionally shared (or allowed to be accessed), distributed, published, uploaded, or reproduced in any form, as they are reserved for the private use by the student registered for the course. Any audio and/or visual recordings (including pictures) are prohibited unless prior written permission from the instructor is granted, and permission is limited to individual and temporary use (i.e., recordings are not to be shared/reproduced, recordings must be deleted at the end of the term).</w:t>
      </w:r>
    </w:p>
    <w:p w:rsidR="00000000" w:rsidDel="00000000" w:rsidP="00000000" w:rsidRDefault="00000000" w:rsidRPr="00000000" w14:paraId="000000FB">
      <w:pPr>
        <w:shd w:fill="ffffff" w:val="clear"/>
        <w:spacing w:after="240" w:before="240" w:lineRule="auto"/>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Unless otherwise instructed, all course submissions should follow the Publication Manual of the American Psychological Association, 7th Edition format. The faculty at the Hawai‘i School of Professional Psychology at Chaminade University of Honolulu is dedicated to providing a learning environment that supports scholarly and ethical writing, free from academic dishonesty and plagiarism.  This includes the proper and appropriate referencing of all sources. Your course assignments may be submitted to an online authenticity resource (e.g., Turnitin), which helps students and instructors detect potential cases of academic dishonesty.</w:t>
      </w:r>
    </w:p>
    <w:p w:rsidR="00000000" w:rsidDel="00000000" w:rsidP="00000000" w:rsidRDefault="00000000" w:rsidRPr="00000000" w14:paraId="000000FC">
      <w:pPr>
        <w:shd w:fill="ffffff" w:val="clear"/>
        <w:spacing w:after="240" w:before="240" w:lineRule="auto"/>
        <w:rPr>
          <w:rFonts w:ascii="Calibri" w:cs="Calibri" w:eastAsia="Calibri" w:hAnsi="Calibri"/>
          <w:color w:val="222222"/>
          <w:sz w:val="22"/>
          <w:szCs w:val="22"/>
        </w:rPr>
      </w:pPr>
      <w:r w:rsidDel="00000000" w:rsidR="00000000" w:rsidRPr="00000000">
        <w:rPr>
          <w:rFonts w:ascii="Calibri" w:cs="Calibri" w:eastAsia="Calibri" w:hAnsi="Calibri"/>
          <w:color w:val="222222"/>
          <w:sz w:val="22"/>
          <w:szCs w:val="22"/>
          <w:rtl w:val="0"/>
        </w:rPr>
        <w:t xml:space="preserve">Similarly, the program needs to evaluate a student’s</w:t>
      </w:r>
      <w:r w:rsidDel="00000000" w:rsidR="00000000" w:rsidRPr="00000000">
        <w:rPr>
          <w:rFonts w:ascii="Calibri" w:cs="Calibri" w:eastAsia="Calibri" w:hAnsi="Calibri"/>
          <w:i w:val="1"/>
          <w:iCs w:val="1"/>
          <w:color w:val="222222"/>
          <w:sz w:val="22"/>
          <w:szCs w:val="22"/>
          <w:rtl w:val="0"/>
        </w:rPr>
        <w:t xml:space="preserve"> competency</w:t>
      </w:r>
      <w:r w:rsidDel="00000000" w:rsidR="00000000" w:rsidRPr="00000000">
        <w:rPr>
          <w:rFonts w:ascii="Calibri" w:cs="Calibri" w:eastAsia="Calibri" w:hAnsi="Calibri"/>
          <w:color w:val="222222"/>
          <w:sz w:val="22"/>
          <w:szCs w:val="22"/>
          <w:rtl w:val="0"/>
        </w:rPr>
        <w:t xml:space="preserve"> in all academic and practice areas (including writing skills and critical thinking). Therefore, using artificial intelligence (AI) and automated writing tools is </w:t>
      </w:r>
      <w:r w:rsidDel="00000000" w:rsidR="00000000" w:rsidRPr="00000000">
        <w:rPr>
          <w:rFonts w:ascii="Calibri" w:cs="Calibri" w:eastAsia="Calibri" w:hAnsi="Calibri"/>
          <w:i w:val="1"/>
          <w:iCs w:val="1"/>
          <w:color w:val="222222"/>
          <w:sz w:val="22"/>
          <w:szCs w:val="22"/>
          <w:rtl w:val="0"/>
        </w:rPr>
        <w:t xml:space="preserve">not permitted</w:t>
      </w:r>
      <w:r w:rsidDel="00000000" w:rsidR="00000000" w:rsidRPr="00000000">
        <w:rPr>
          <w:rFonts w:ascii="Calibri" w:cs="Calibri" w:eastAsia="Calibri" w:hAnsi="Calibri"/>
          <w:color w:val="222222"/>
          <w:sz w:val="22"/>
          <w:szCs w:val="22"/>
          <w:rtl w:val="0"/>
        </w:rPr>
        <w:t xml:space="preserve"> for program submissions and will be considered academic dishonesty. </w:t>
      </w:r>
    </w:p>
    <w:p w:rsidR="00000000" w:rsidDel="00000000" w:rsidP="00000000" w:rsidRDefault="00000000" w:rsidRPr="00000000" w14:paraId="000000FD">
      <w:pPr>
        <w:pBdr>
          <w:top w:space="0" w:sz="0" w:val="nil"/>
          <w:left w:space="0" w:sz="0" w:val="nil"/>
          <w:bottom w:space="0" w:sz="0" w:val="nil"/>
          <w:right w:space="0" w:sz="0" w:val="nil"/>
          <w:between w:space="0" w:sz="0" w:val="nil"/>
        </w:pBdr>
        <w:rPr>
          <w:rFonts w:ascii="Calibri" w:cs="Calibri" w:eastAsia="Calibri" w:hAnsi="Calibri"/>
          <w:sz w:val="22"/>
          <w:szCs w:val="22"/>
        </w:rPr>
      </w:pPr>
      <w:r w:rsidDel="00000000" w:rsidR="00000000" w:rsidRPr="00000000">
        <w:rPr>
          <w:rFonts w:ascii="Calibri" w:cs="Calibri" w:eastAsia="Calibri" w:hAnsi="Calibri"/>
          <w:b w:val="1"/>
          <w:bCs w:val="1"/>
          <w:i w:val="1"/>
          <w:iCs w:val="1"/>
          <w:sz w:val="22"/>
          <w:szCs w:val="22"/>
          <w:rtl w:val="0"/>
        </w:rPr>
        <w:t xml:space="preserve">Technology:</w:t>
      </w:r>
      <w:r w:rsidDel="00000000" w:rsidR="00000000" w:rsidRPr="00000000">
        <w:rPr>
          <w:rFonts w:ascii="Calibri" w:cs="Calibri" w:eastAsia="Calibri" w:hAnsi="Calibri"/>
          <w:sz w:val="22"/>
          <w:szCs w:val="22"/>
          <w:rtl w:val="0"/>
        </w:rPr>
        <w:t xml:space="preserve"> A laptop with the following technology may be required in order to complete courses in the Clinical Psychology program: at least Windows 10 (for PCs), at least Mac OS X 10.5.8 (for Macs); a current antivirus program; the current Microsoft Office (PowerPoint and Word) and Adobe Acrobat; a standard web browser; and an internet or broadband connection with speed and connectivity to support internet searches and video conferencing. Most courses are paperless, but a printer/scanner may also be required.</w:t>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rFonts w:ascii="Calibri" w:cs="Calibri" w:eastAsia="Calibri" w:hAnsi="Calibri"/>
          <w:sz w:val="22"/>
          <w:szCs w:val="22"/>
        </w:rPr>
      </w:pPr>
      <w:r w:rsidDel="00000000" w:rsidR="00000000" w:rsidRPr="00000000">
        <w:rPr>
          <w:rFonts w:ascii="Calibri" w:cs="Calibri" w:eastAsia="Calibri" w:hAnsi="Calibri"/>
          <w:b w:val="1"/>
          <w:bCs w:val="1"/>
          <w:i w:val="1"/>
          <w:iCs w:val="1"/>
          <w:sz w:val="22"/>
          <w:szCs w:val="22"/>
          <w:rtl w:val="0"/>
        </w:rPr>
        <w:t xml:space="preserve">Late work:</w:t>
      </w:r>
      <w:r w:rsidDel="00000000" w:rsidR="00000000" w:rsidRPr="00000000">
        <w:rPr>
          <w:rFonts w:ascii="Calibri" w:cs="Calibri" w:eastAsia="Calibri" w:hAnsi="Calibri"/>
          <w:sz w:val="22"/>
          <w:szCs w:val="22"/>
          <w:rtl w:val="0"/>
        </w:rPr>
        <w:t xml:space="preserve"> Late work will be accepted but will be docked 1 point for each day it is late and partial credit will only be given if submission occurs within 7 days. </w:t>
      </w:r>
    </w:p>
    <w:p w:rsidR="00000000" w:rsidDel="00000000" w:rsidP="00000000" w:rsidRDefault="00000000" w:rsidRPr="00000000" w14:paraId="0000010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1">
      <w:pPr>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Schedule </w:t>
      </w:r>
    </w:p>
    <w:tbl>
      <w:tblPr>
        <w:tblStyle w:val="Table3"/>
        <w:tblW w:w="99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50"/>
        <w:gridCol w:w="690"/>
        <w:gridCol w:w="3330"/>
        <w:gridCol w:w="3600"/>
        <w:gridCol w:w="1530"/>
        <w:tblGridChange w:id="0">
          <w:tblGrid>
            <w:gridCol w:w="750"/>
            <w:gridCol w:w="690"/>
            <w:gridCol w:w="3330"/>
            <w:gridCol w:w="3600"/>
            <w:gridCol w:w="1530"/>
          </w:tblGrid>
        </w:tblGridChange>
      </w:tblGrid>
      <w:tr>
        <w:trPr>
          <w:cantSplit w:val="0"/>
          <w:tblHeader w:val="0"/>
        </w:trPr>
        <w:tc>
          <w:tcPr>
            <w:vAlign w:val="center"/>
          </w:tcPr>
          <w:p w:rsidR="00000000" w:rsidDel="00000000" w:rsidP="00000000" w:rsidRDefault="00000000" w:rsidRPr="00000000" w14:paraId="00000102">
            <w:pPr>
              <w:jc w:val="center"/>
              <w:rPr>
                <w:sz w:val="22"/>
                <w:szCs w:val="22"/>
              </w:rPr>
            </w:pPr>
            <w:r w:rsidDel="00000000" w:rsidR="00000000" w:rsidRPr="00000000">
              <w:rPr>
                <w:sz w:val="22"/>
                <w:szCs w:val="22"/>
                <w:rtl w:val="0"/>
              </w:rPr>
              <w:t xml:space="preserve">Week</w:t>
            </w:r>
          </w:p>
        </w:tc>
        <w:tc>
          <w:tcPr>
            <w:vAlign w:val="center"/>
          </w:tcPr>
          <w:p w:rsidR="00000000" w:rsidDel="00000000" w:rsidP="00000000" w:rsidRDefault="00000000" w:rsidRPr="00000000" w14:paraId="00000103">
            <w:pPr>
              <w:jc w:val="center"/>
              <w:rPr>
                <w:sz w:val="22"/>
                <w:szCs w:val="22"/>
              </w:rPr>
            </w:pPr>
            <w:r w:rsidDel="00000000" w:rsidR="00000000" w:rsidRPr="00000000">
              <w:rPr>
                <w:sz w:val="22"/>
                <w:szCs w:val="22"/>
                <w:rtl w:val="0"/>
              </w:rPr>
              <w:t xml:space="preserve">Date</w:t>
            </w:r>
          </w:p>
        </w:tc>
        <w:tc>
          <w:tcPr>
            <w:vAlign w:val="center"/>
          </w:tcPr>
          <w:p w:rsidR="00000000" w:rsidDel="00000000" w:rsidP="00000000" w:rsidRDefault="00000000" w:rsidRPr="00000000" w14:paraId="00000104">
            <w:pPr>
              <w:jc w:val="center"/>
              <w:rPr>
                <w:sz w:val="22"/>
                <w:szCs w:val="22"/>
              </w:rPr>
            </w:pPr>
            <w:r w:rsidDel="00000000" w:rsidR="00000000" w:rsidRPr="00000000">
              <w:rPr>
                <w:sz w:val="22"/>
                <w:szCs w:val="22"/>
                <w:rtl w:val="0"/>
              </w:rPr>
              <w:t xml:space="preserve">Topics</w:t>
            </w:r>
          </w:p>
        </w:tc>
        <w:tc>
          <w:tcPr>
            <w:vAlign w:val="center"/>
          </w:tcPr>
          <w:p w:rsidR="00000000" w:rsidDel="00000000" w:rsidP="00000000" w:rsidRDefault="00000000" w:rsidRPr="00000000" w14:paraId="00000105">
            <w:pPr>
              <w:jc w:val="center"/>
              <w:rPr>
                <w:sz w:val="22"/>
                <w:szCs w:val="22"/>
              </w:rPr>
            </w:pPr>
            <w:r w:rsidDel="00000000" w:rsidR="00000000" w:rsidRPr="00000000">
              <w:rPr>
                <w:sz w:val="22"/>
                <w:szCs w:val="22"/>
                <w:rtl w:val="0"/>
              </w:rPr>
              <w:t xml:space="preserve">Readings Due (complete prior to class)</w:t>
            </w:r>
          </w:p>
        </w:tc>
        <w:tc>
          <w:tcPr>
            <w:vAlign w:val="center"/>
          </w:tcPr>
          <w:p w:rsidR="00000000" w:rsidDel="00000000" w:rsidP="00000000" w:rsidRDefault="00000000" w:rsidRPr="00000000" w14:paraId="00000106">
            <w:pPr>
              <w:jc w:val="center"/>
              <w:rPr>
                <w:sz w:val="22"/>
                <w:szCs w:val="22"/>
              </w:rPr>
            </w:pPr>
            <w:r w:rsidDel="00000000" w:rsidR="00000000" w:rsidRPr="00000000">
              <w:rPr>
                <w:sz w:val="22"/>
                <w:szCs w:val="22"/>
                <w:rtl w:val="0"/>
              </w:rPr>
              <w:t xml:space="preserve">Assignments Due</w:t>
            </w:r>
          </w:p>
        </w:tc>
      </w:tr>
      <w:tr>
        <w:trPr>
          <w:cantSplit w:val="0"/>
          <w:tblHeader w:val="0"/>
        </w:trPr>
        <w:tc>
          <w:tcPr/>
          <w:p w:rsidR="00000000" w:rsidDel="00000000" w:rsidP="00000000" w:rsidRDefault="00000000" w:rsidRPr="00000000" w14:paraId="00000107">
            <w:pPr>
              <w:jc w:val="center"/>
              <w:rPr>
                <w:sz w:val="22"/>
                <w:szCs w:val="22"/>
              </w:rPr>
            </w:pPr>
            <w:r w:rsidDel="00000000" w:rsidR="00000000" w:rsidRPr="00000000">
              <w:rPr>
                <w:sz w:val="22"/>
                <w:szCs w:val="22"/>
                <w:rtl w:val="0"/>
              </w:rPr>
              <w:t xml:space="preserve">1</w:t>
            </w:r>
          </w:p>
        </w:tc>
        <w:tc>
          <w:tcPr/>
          <w:p w:rsidR="00000000" w:rsidDel="00000000" w:rsidP="00000000" w:rsidRDefault="00000000" w:rsidRPr="00000000" w14:paraId="00000108">
            <w:pPr>
              <w:jc w:val="center"/>
              <w:rPr>
                <w:sz w:val="22"/>
                <w:szCs w:val="22"/>
              </w:rPr>
            </w:pPr>
            <w:r w:rsidDel="00000000" w:rsidR="00000000" w:rsidRPr="00000000">
              <w:rPr>
                <w:sz w:val="22"/>
                <w:szCs w:val="22"/>
                <w:rtl w:val="0"/>
              </w:rPr>
              <w:t xml:space="preserve">5/13</w:t>
            </w:r>
          </w:p>
        </w:tc>
        <w:tc>
          <w:tcPr/>
          <w:p w:rsidR="00000000" w:rsidDel="00000000" w:rsidP="00000000" w:rsidRDefault="00000000" w:rsidRPr="00000000" w14:paraId="00000109">
            <w:pPr>
              <w:rPr>
                <w:sz w:val="22"/>
                <w:szCs w:val="22"/>
              </w:rPr>
            </w:pPr>
            <w:r w:rsidDel="00000000" w:rsidR="00000000" w:rsidRPr="00000000">
              <w:rPr>
                <w:sz w:val="22"/>
                <w:szCs w:val="22"/>
                <w:highlight w:val="yellow"/>
                <w:rtl w:val="0"/>
              </w:rPr>
              <w:t xml:space="preserve">AM</w:t>
            </w:r>
            <w:r w:rsidDel="00000000" w:rsidR="00000000" w:rsidRPr="00000000">
              <w:rPr>
                <w:sz w:val="22"/>
                <w:szCs w:val="22"/>
                <w:rtl w:val="0"/>
              </w:rPr>
              <w:t xml:space="preserve"> - Introduction, defining “Special Populations;” IDEA; ADA; Defining Disability; </w:t>
            </w:r>
            <w:r w:rsidDel="00000000" w:rsidR="00000000" w:rsidRPr="00000000">
              <w:rPr>
                <w:color w:val="000000"/>
                <w:sz w:val="22"/>
                <w:szCs w:val="22"/>
                <w:rtl w:val="0"/>
              </w:rPr>
              <w:t xml:space="preserve">Ax &amp; Tx of Intellectual Disabilities; Trisomy 23; assessing very low cognitive abilities; </w:t>
            </w:r>
            <w:r w:rsidDel="00000000" w:rsidR="00000000" w:rsidRPr="00000000">
              <w:rPr>
                <w:i w:val="1"/>
                <w:iCs w:val="1"/>
                <w:color w:val="000000"/>
                <w:sz w:val="22"/>
                <w:szCs w:val="22"/>
                <w:rtl w:val="0"/>
              </w:rPr>
              <w:t xml:space="preserve">S-B-5; Callier-Azusa scale; Dimensions of Communication</w:t>
            </w:r>
            <w:r w:rsidDel="00000000" w:rsidR="00000000" w:rsidRPr="00000000">
              <w:rPr>
                <w:rtl w:val="0"/>
              </w:rPr>
            </w:r>
          </w:p>
          <w:p w:rsidR="00000000" w:rsidDel="00000000" w:rsidP="00000000" w:rsidRDefault="00000000" w:rsidRPr="00000000" w14:paraId="0000010A">
            <w:pPr>
              <w:rPr>
                <w:sz w:val="22"/>
                <w:szCs w:val="22"/>
              </w:rPr>
            </w:pPr>
            <w:r w:rsidDel="00000000" w:rsidR="00000000" w:rsidRPr="00000000">
              <w:rPr>
                <w:rtl w:val="0"/>
              </w:rPr>
            </w:r>
          </w:p>
          <w:p w:rsidR="00000000" w:rsidDel="00000000" w:rsidP="00000000" w:rsidRDefault="00000000" w:rsidRPr="00000000" w14:paraId="0000010B">
            <w:pPr>
              <w:rPr>
                <w:sz w:val="22"/>
                <w:szCs w:val="22"/>
              </w:rPr>
            </w:pPr>
            <w:r w:rsidDel="00000000" w:rsidR="00000000" w:rsidRPr="00000000">
              <w:rPr>
                <w:sz w:val="22"/>
                <w:szCs w:val="22"/>
                <w:highlight w:val="green"/>
                <w:rtl w:val="0"/>
              </w:rPr>
              <w:t xml:space="preserve">PM</w:t>
            </w:r>
            <w:r w:rsidDel="00000000" w:rsidR="00000000" w:rsidRPr="00000000">
              <w:rPr>
                <w:sz w:val="22"/>
                <w:szCs w:val="22"/>
                <w:rtl w:val="0"/>
              </w:rPr>
              <w:t xml:space="preserve"> (</w:t>
            </w:r>
            <w:r w:rsidDel="00000000" w:rsidR="00000000" w:rsidRPr="00000000">
              <w:rPr>
                <w:b w:val="1"/>
                <w:bCs w:val="1"/>
                <w:sz w:val="22"/>
                <w:szCs w:val="22"/>
                <w:u w:val="single"/>
                <w:rtl w:val="0"/>
              </w:rPr>
              <w:t xml:space="preserve">async</w:t>
            </w:r>
            <w:r w:rsidDel="00000000" w:rsidR="00000000" w:rsidRPr="00000000">
              <w:rPr>
                <w:sz w:val="22"/>
                <w:szCs w:val="22"/>
                <w:rtl w:val="0"/>
              </w:rPr>
              <w:t xml:space="preserve">)  – </w:t>
            </w:r>
            <w:r w:rsidDel="00000000" w:rsidR="00000000" w:rsidRPr="00000000">
              <w:rPr>
                <w:i w:val="1"/>
                <w:iCs w:val="1"/>
                <w:sz w:val="22"/>
                <w:szCs w:val="22"/>
                <w:rtl w:val="0"/>
              </w:rPr>
              <w:t xml:space="preserve">Demystifying Disability</w:t>
            </w:r>
            <w:r w:rsidDel="00000000" w:rsidR="00000000" w:rsidRPr="00000000">
              <w:rPr>
                <w:sz w:val="22"/>
                <w:szCs w:val="22"/>
                <w:rtl w:val="0"/>
              </w:rPr>
              <w:t xml:space="preserve"> – Review your assigned chapter with your partner(s) and generate a 10-minute presentation on your chapter for next week. This can be done in the afternoon or on your own time.</w:t>
            </w:r>
          </w:p>
        </w:tc>
        <w:tc>
          <w:tcPr/>
          <w:p w:rsidR="00000000" w:rsidDel="00000000" w:rsidP="00000000" w:rsidRDefault="00000000" w:rsidRPr="00000000" w14:paraId="0000010C">
            <w:pPr>
              <w:rPr>
                <w:sz w:val="22"/>
                <w:szCs w:val="22"/>
              </w:rPr>
            </w:pPr>
            <w:r w:rsidDel="00000000" w:rsidR="00000000" w:rsidRPr="00000000">
              <w:rPr>
                <w:sz w:val="22"/>
                <w:szCs w:val="22"/>
                <w:rtl w:val="0"/>
              </w:rPr>
              <w:t xml:space="preserve">Historical, Legal &amp; Ethical Foundations</w:t>
            </w:r>
          </w:p>
          <w:p w:rsidR="00000000" w:rsidDel="00000000" w:rsidP="00000000" w:rsidRDefault="00000000" w:rsidRPr="00000000" w14:paraId="0000010D">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hyperlink r:id="rId29">
              <w:r w:rsidDel="00000000" w:rsidR="00000000" w:rsidRPr="00000000">
                <w:rPr>
                  <w:color w:val="0000ff"/>
                  <w:sz w:val="22"/>
                  <w:szCs w:val="22"/>
                  <w:u w:val="single"/>
                  <w:rtl w:val="0"/>
                </w:rPr>
                <w:t xml:space="preserve">APA (2019)</w:t>
              </w:r>
            </w:hyperlink>
            <w:r w:rsidDel="00000000" w:rsidR="00000000" w:rsidRPr="00000000">
              <w:rPr>
                <w:color w:val="0000ff"/>
                <w:sz w:val="22"/>
                <w:szCs w:val="22"/>
                <w:u w:val="single"/>
                <w:rtl w:val="0"/>
              </w:rPr>
              <w:t xml:space="preserve"> </w:t>
            </w:r>
            <w:r w:rsidDel="00000000" w:rsidR="00000000" w:rsidRPr="00000000">
              <w:rPr>
                <w:color w:val="000000"/>
                <w:sz w:val="22"/>
                <w:szCs w:val="22"/>
                <w:rtl w:val="0"/>
              </w:rPr>
              <w:t xml:space="preserve">– Guidelines</w:t>
            </w:r>
          </w:p>
          <w:p w:rsidR="00000000" w:rsidDel="00000000" w:rsidP="00000000" w:rsidRDefault="00000000" w:rsidRPr="00000000" w14:paraId="0000010E">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hyperlink r:id="rId30">
              <w:r w:rsidDel="00000000" w:rsidR="00000000" w:rsidRPr="00000000">
                <w:rPr>
                  <w:color w:val="0000ff"/>
                  <w:sz w:val="22"/>
                  <w:szCs w:val="22"/>
                  <w:u w:val="single"/>
                  <w:rtl w:val="0"/>
                </w:rPr>
                <w:t xml:space="preserve">APA (2019)</w:t>
              </w:r>
            </w:hyperlink>
            <w:r w:rsidDel="00000000" w:rsidR="00000000" w:rsidRPr="00000000">
              <w:rPr>
                <w:color w:val="000000"/>
                <w:sz w:val="22"/>
                <w:szCs w:val="22"/>
                <w:rtl w:val="0"/>
              </w:rPr>
              <w:t xml:space="preserve"> – Policy</w:t>
            </w:r>
          </w:p>
          <w:p w:rsidR="00000000" w:rsidDel="00000000" w:rsidP="00000000" w:rsidRDefault="00000000" w:rsidRPr="00000000" w14:paraId="0000010F">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r w:rsidDel="00000000" w:rsidR="00000000" w:rsidRPr="00000000">
              <w:rPr>
                <w:color w:val="000000"/>
                <w:sz w:val="22"/>
                <w:szCs w:val="22"/>
                <w:rtl w:val="0"/>
              </w:rPr>
              <w:t xml:space="preserve">Kerkhoff &amp; Hanson (2014)</w:t>
            </w:r>
          </w:p>
          <w:p w:rsidR="00000000" w:rsidDel="00000000" w:rsidP="00000000" w:rsidRDefault="00000000" w:rsidRPr="00000000" w14:paraId="00000110">
            <w:pPr>
              <w:ind w:left="720" w:hanging="720"/>
              <w:rPr>
                <w:color w:val="000000"/>
                <w:sz w:val="22"/>
                <w:szCs w:val="22"/>
              </w:rPr>
            </w:pPr>
            <w:r w:rsidDel="00000000" w:rsidR="00000000" w:rsidRPr="00000000">
              <w:rPr>
                <w:color w:val="000000"/>
                <w:sz w:val="22"/>
                <w:szCs w:val="22"/>
                <w:rtl w:val="0"/>
              </w:rPr>
              <w:t xml:space="preserve">Intellectual Disabilities</w:t>
            </w:r>
          </w:p>
          <w:p w:rsidR="00000000" w:rsidDel="00000000" w:rsidP="00000000" w:rsidRDefault="00000000" w:rsidRPr="00000000" w14:paraId="00000111">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r w:rsidDel="00000000" w:rsidR="00000000" w:rsidRPr="00000000">
              <w:rPr>
                <w:color w:val="000000"/>
                <w:sz w:val="22"/>
                <w:szCs w:val="22"/>
                <w:rtl w:val="0"/>
              </w:rPr>
              <w:t xml:space="preserve">Kamphaus &amp; Walden (2020)</w:t>
            </w:r>
          </w:p>
          <w:p w:rsidR="00000000" w:rsidDel="00000000" w:rsidP="00000000" w:rsidRDefault="00000000" w:rsidRPr="00000000" w14:paraId="00000112">
            <w:pPr>
              <w:widowControl w:val="1"/>
              <w:numPr>
                <w:ilvl w:val="0"/>
                <w:numId w:val="2"/>
              </w:numPr>
              <w:pBdr>
                <w:top w:space="0" w:sz="0" w:val="nil"/>
                <w:left w:space="0" w:sz="0" w:val="nil"/>
                <w:bottom w:space="0" w:sz="0" w:val="nil"/>
                <w:right w:space="0" w:sz="0" w:val="nil"/>
                <w:between w:space="0" w:sz="0" w:val="nil"/>
              </w:pBdr>
              <w:ind w:left="500" w:hanging="360"/>
              <w:rPr>
                <w:color w:val="7030a0"/>
                <w:sz w:val="22"/>
                <w:szCs w:val="22"/>
              </w:rPr>
            </w:pPr>
            <w:hyperlink r:id="rId31">
              <w:r w:rsidDel="00000000" w:rsidR="00000000" w:rsidRPr="00000000">
                <w:rPr>
                  <w:color w:val="7030a0"/>
                  <w:sz w:val="22"/>
                  <w:szCs w:val="22"/>
                  <w:u w:val="single"/>
                  <w:rtl w:val="0"/>
                </w:rPr>
                <w:t xml:space="preserve">Kennedy Krieger Institute</w:t>
              </w:r>
            </w:hyperlink>
            <w:r w:rsidDel="00000000" w:rsidR="00000000" w:rsidRPr="00000000">
              <w:rPr>
                <w:color w:val="7030a0"/>
                <w:sz w:val="22"/>
                <w:szCs w:val="22"/>
                <w:rtl w:val="0"/>
              </w:rPr>
              <w:t xml:space="preserve"> </w:t>
            </w:r>
          </w:p>
          <w:p w:rsidR="00000000" w:rsidDel="00000000" w:rsidP="00000000" w:rsidRDefault="00000000" w:rsidRPr="00000000" w14:paraId="00000113">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r w:rsidDel="00000000" w:rsidR="00000000" w:rsidRPr="00000000">
              <w:rPr>
                <w:color w:val="000000"/>
                <w:sz w:val="22"/>
                <w:szCs w:val="22"/>
                <w:rtl w:val="0"/>
              </w:rPr>
              <w:t xml:space="preserve">Simon (2007)</w:t>
            </w:r>
          </w:p>
          <w:p w:rsidR="00000000" w:rsidDel="00000000" w:rsidP="00000000" w:rsidRDefault="00000000" w:rsidRPr="00000000" w14:paraId="00000114">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r w:rsidDel="00000000" w:rsidR="00000000" w:rsidRPr="00000000">
              <w:rPr>
                <w:color w:val="000000"/>
                <w:sz w:val="22"/>
                <w:szCs w:val="22"/>
                <w:rtl w:val="0"/>
              </w:rPr>
              <w:t xml:space="preserve">Sue et al. (2019)</w:t>
            </w:r>
          </w:p>
          <w:p w:rsidR="00000000" w:rsidDel="00000000" w:rsidP="00000000" w:rsidRDefault="00000000" w:rsidRPr="00000000" w14:paraId="00000115">
            <w:pPr>
              <w:widowControl w:val="1"/>
              <w:pBdr>
                <w:top w:space="0" w:sz="0" w:val="nil"/>
                <w:left w:space="0" w:sz="0" w:val="nil"/>
                <w:bottom w:space="0" w:sz="0" w:val="nil"/>
                <w:right w:space="0" w:sz="0" w:val="nil"/>
                <w:between w:space="0" w:sz="0" w:val="nil"/>
              </w:pBdr>
              <w:rPr>
                <w:color w:val="000000"/>
                <w:sz w:val="22"/>
                <w:szCs w:val="22"/>
              </w:rPr>
            </w:pPr>
            <w:r w:rsidDel="00000000" w:rsidR="00000000" w:rsidRPr="00000000">
              <w:rPr>
                <w:i w:val="1"/>
                <w:iCs w:val="1"/>
                <w:sz w:val="22"/>
                <w:szCs w:val="22"/>
                <w:rtl w:val="0"/>
              </w:rPr>
              <w:t xml:space="preserve">Demystifying Disability</w:t>
            </w:r>
            <w:r w:rsidDel="00000000" w:rsidR="00000000" w:rsidRPr="00000000">
              <w:rPr>
                <w:sz w:val="22"/>
                <w:szCs w:val="22"/>
                <w:rtl w:val="0"/>
              </w:rPr>
              <w:t xml:space="preserve"> (Ladau)</w:t>
            </w:r>
            <w:r w:rsidDel="00000000" w:rsidR="00000000" w:rsidRPr="00000000">
              <w:rPr>
                <w:rtl w:val="0"/>
              </w:rPr>
            </w:r>
          </w:p>
        </w:tc>
        <w:tc>
          <w:tcPr/>
          <w:p w:rsidR="00000000" w:rsidDel="00000000" w:rsidP="00000000" w:rsidRDefault="00000000" w:rsidRPr="00000000" w14:paraId="00000116">
            <w:pPr>
              <w:rPr>
                <w:color w:val="000000"/>
                <w:sz w:val="22"/>
                <w:szCs w:val="22"/>
              </w:rPr>
            </w:pPr>
            <w:r w:rsidDel="00000000" w:rsidR="00000000" w:rsidRPr="00000000">
              <w:rPr>
                <w:sz w:val="22"/>
                <w:szCs w:val="22"/>
                <w:rtl w:val="0"/>
              </w:rPr>
              <w:t xml:space="preserve">Link to:</w:t>
            </w:r>
            <w:r w:rsidDel="00000000" w:rsidR="00000000" w:rsidRPr="00000000">
              <w:rPr>
                <w:rtl w:val="0"/>
              </w:rPr>
            </w:r>
          </w:p>
          <w:p w:rsidR="00000000" w:rsidDel="00000000" w:rsidP="00000000" w:rsidRDefault="00000000" w:rsidRPr="00000000" w14:paraId="00000117">
            <w:pPr>
              <w:rPr>
                <w:color w:val="ff0000"/>
                <w:sz w:val="22"/>
                <w:szCs w:val="22"/>
              </w:rPr>
            </w:pPr>
            <w:hyperlink r:id="rId32">
              <w:r w:rsidDel="00000000" w:rsidR="00000000" w:rsidRPr="00000000">
                <w:rPr>
                  <w:color w:val="1155cc"/>
                  <w:sz w:val="22"/>
                  <w:szCs w:val="22"/>
                  <w:u w:val="single"/>
                  <w:rtl w:val="0"/>
                </w:rPr>
                <w:t xml:space="preserve">ZOOM CLASS</w:t>
              </w:r>
            </w:hyperlink>
            <w:r w:rsidDel="00000000" w:rsidR="00000000" w:rsidRPr="00000000">
              <w:rPr>
                <w:color w:val="ff0000"/>
                <w:sz w:val="22"/>
                <w:szCs w:val="22"/>
                <w:rtl w:val="0"/>
              </w:rPr>
              <w:t xml:space="preserve">  </w:t>
            </w:r>
          </w:p>
          <w:p w:rsidR="00000000" w:rsidDel="00000000" w:rsidP="00000000" w:rsidRDefault="00000000" w:rsidRPr="00000000" w14:paraId="00000118">
            <w:pPr>
              <w:rPr>
                <w:color w:val="ff0000"/>
                <w:sz w:val="22"/>
                <w:szCs w:val="22"/>
              </w:rPr>
            </w:pPr>
            <w:r w:rsidDel="00000000" w:rsidR="00000000" w:rsidRPr="00000000">
              <w:rPr>
                <w:rtl w:val="0"/>
              </w:rPr>
            </w:r>
          </w:p>
          <w:p w:rsidR="00000000" w:rsidDel="00000000" w:rsidP="00000000" w:rsidRDefault="00000000" w:rsidRPr="00000000" w14:paraId="00000119">
            <w:pPr>
              <w:rPr>
                <w:sz w:val="22"/>
                <w:szCs w:val="22"/>
              </w:rPr>
            </w:pPr>
            <w:r w:rsidDel="00000000" w:rsidR="00000000" w:rsidRPr="00000000">
              <w:rPr>
                <w:color w:val="ff0000"/>
                <w:sz w:val="22"/>
                <w:szCs w:val="22"/>
                <w:rtl w:val="0"/>
              </w:rPr>
              <w:t xml:space="preserve">FROM 9:00am to 12:00 pm today</w:t>
            </w:r>
            <w:r w:rsidDel="00000000" w:rsidR="00000000" w:rsidRPr="00000000">
              <w:rPr>
                <w:rtl w:val="0"/>
              </w:rPr>
            </w:r>
          </w:p>
          <w:p w:rsidR="00000000" w:rsidDel="00000000" w:rsidP="00000000" w:rsidRDefault="00000000" w:rsidRPr="00000000" w14:paraId="0000011A">
            <w:pPr>
              <w:rPr>
                <w:sz w:val="22"/>
                <w:szCs w:val="22"/>
              </w:rPr>
            </w:pPr>
            <w:r w:rsidDel="00000000" w:rsidR="00000000" w:rsidRPr="00000000">
              <w:rPr>
                <w:rtl w:val="0"/>
              </w:rPr>
            </w:r>
          </w:p>
          <w:p w:rsidR="00000000" w:rsidDel="00000000" w:rsidP="00000000" w:rsidRDefault="00000000" w:rsidRPr="00000000" w14:paraId="0000011B">
            <w:pPr>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1C">
            <w:pPr>
              <w:jc w:val="center"/>
              <w:rPr>
                <w:color w:val="000000"/>
                <w:sz w:val="22"/>
                <w:szCs w:val="22"/>
              </w:rPr>
            </w:pPr>
            <w:r w:rsidDel="00000000" w:rsidR="00000000" w:rsidRPr="00000000">
              <w:rPr>
                <w:color w:val="000000"/>
                <w:sz w:val="22"/>
                <w:szCs w:val="22"/>
                <w:rtl w:val="0"/>
              </w:rPr>
              <w:t xml:space="preserve">2</w:t>
            </w:r>
          </w:p>
        </w:tc>
        <w:tc>
          <w:tcPr/>
          <w:p w:rsidR="00000000" w:rsidDel="00000000" w:rsidP="00000000" w:rsidRDefault="00000000" w:rsidRPr="00000000" w14:paraId="0000011D">
            <w:pPr>
              <w:jc w:val="center"/>
              <w:rPr>
                <w:color w:val="000000"/>
                <w:sz w:val="22"/>
                <w:szCs w:val="22"/>
              </w:rPr>
            </w:pPr>
            <w:r w:rsidDel="00000000" w:rsidR="00000000" w:rsidRPr="00000000">
              <w:rPr>
                <w:color w:val="000000"/>
                <w:sz w:val="22"/>
                <w:szCs w:val="22"/>
                <w:rtl w:val="0"/>
              </w:rPr>
              <w:t xml:space="preserve">5/</w:t>
            </w:r>
            <w:r w:rsidDel="00000000" w:rsidR="00000000" w:rsidRPr="00000000">
              <w:rPr>
                <w:sz w:val="22"/>
                <w:szCs w:val="22"/>
                <w:rtl w:val="0"/>
              </w:rPr>
              <w:t xml:space="preserve">20</w:t>
            </w:r>
            <w:r w:rsidDel="00000000" w:rsidR="00000000" w:rsidRPr="00000000">
              <w:rPr>
                <w:rtl w:val="0"/>
              </w:rPr>
            </w:r>
          </w:p>
        </w:tc>
        <w:tc>
          <w:tcPr/>
          <w:p w:rsidR="00000000" w:rsidDel="00000000" w:rsidP="00000000" w:rsidRDefault="00000000" w:rsidRPr="00000000" w14:paraId="0000011E">
            <w:pPr>
              <w:rPr>
                <w:sz w:val="22"/>
                <w:szCs w:val="22"/>
              </w:rPr>
            </w:pPr>
            <w:r w:rsidDel="00000000" w:rsidR="00000000" w:rsidRPr="00000000">
              <w:rPr>
                <w:sz w:val="22"/>
                <w:szCs w:val="22"/>
                <w:highlight w:val="yellow"/>
                <w:rtl w:val="0"/>
              </w:rPr>
              <w:t xml:space="preserve">AM</w:t>
            </w:r>
            <w:r w:rsidDel="00000000" w:rsidR="00000000" w:rsidRPr="00000000">
              <w:rPr>
                <w:sz w:val="22"/>
                <w:szCs w:val="22"/>
                <w:rtl w:val="0"/>
              </w:rPr>
              <w:t xml:space="preserve"> – Demystifying Disability chapter presentations; PBL #1</w:t>
            </w:r>
          </w:p>
          <w:p w:rsidR="00000000" w:rsidDel="00000000" w:rsidP="00000000" w:rsidRDefault="00000000" w:rsidRPr="00000000" w14:paraId="0000011F">
            <w:pPr>
              <w:rPr>
                <w:sz w:val="22"/>
                <w:szCs w:val="22"/>
              </w:rPr>
            </w:pPr>
            <w:r w:rsidDel="00000000" w:rsidR="00000000" w:rsidRPr="00000000">
              <w:rPr>
                <w:rtl w:val="0"/>
              </w:rPr>
            </w:r>
          </w:p>
          <w:p w:rsidR="00000000" w:rsidDel="00000000" w:rsidP="00000000" w:rsidRDefault="00000000" w:rsidRPr="00000000" w14:paraId="00000120">
            <w:pPr>
              <w:rPr>
                <w:color w:val="ff0000"/>
                <w:sz w:val="22"/>
                <w:szCs w:val="22"/>
              </w:rPr>
            </w:pPr>
            <w:r w:rsidDel="00000000" w:rsidR="00000000" w:rsidRPr="00000000">
              <w:rPr>
                <w:sz w:val="22"/>
                <w:szCs w:val="22"/>
                <w:highlight w:val="green"/>
                <w:rtl w:val="0"/>
              </w:rPr>
              <w:t xml:space="preserve">PM</w:t>
            </w:r>
            <w:r w:rsidDel="00000000" w:rsidR="00000000" w:rsidRPr="00000000">
              <w:rPr>
                <w:sz w:val="22"/>
                <w:szCs w:val="22"/>
                <w:rtl w:val="0"/>
              </w:rPr>
              <w:t xml:space="preserve"> - Ax and Tx of folks who are Blind or low vision; </w:t>
            </w:r>
            <w:hyperlink r:id="rId33">
              <w:r w:rsidDel="00000000" w:rsidR="00000000" w:rsidRPr="00000000">
                <w:rPr>
                  <w:i w:val="1"/>
                  <w:iCs w:val="1"/>
                  <w:color w:val="0000ff"/>
                  <w:sz w:val="22"/>
                  <w:szCs w:val="22"/>
                  <w:u w:val="single"/>
                  <w:rtl w:val="0"/>
                </w:rPr>
                <w:t xml:space="preserve">Slosson-IV</w:t>
              </w:r>
            </w:hyperlink>
            <w:r w:rsidDel="00000000" w:rsidR="00000000" w:rsidRPr="00000000">
              <w:rPr>
                <w:i w:val="1"/>
                <w:iCs w:val="1"/>
                <w:color w:val="0000ff"/>
                <w:sz w:val="22"/>
                <w:szCs w:val="22"/>
                <w:u w:val="single"/>
                <w:rtl w:val="0"/>
              </w:rPr>
              <w:t xml:space="preserve">;</w:t>
            </w:r>
            <w:r w:rsidDel="00000000" w:rsidR="00000000" w:rsidRPr="00000000">
              <w:rPr>
                <w:rtl w:val="0"/>
              </w:rPr>
            </w:r>
          </w:p>
        </w:tc>
        <w:tc>
          <w:tcPr/>
          <w:p w:rsidR="00000000" w:rsidDel="00000000" w:rsidP="00000000" w:rsidRDefault="00000000" w:rsidRPr="00000000" w14:paraId="00000121">
            <w:pPr>
              <w:rPr>
                <w:sz w:val="22"/>
                <w:szCs w:val="22"/>
              </w:rPr>
            </w:pPr>
            <w:r w:rsidDel="00000000" w:rsidR="00000000" w:rsidRPr="00000000">
              <w:rPr>
                <w:i w:val="1"/>
                <w:iCs w:val="1"/>
                <w:sz w:val="22"/>
                <w:szCs w:val="22"/>
                <w:rtl w:val="0"/>
              </w:rPr>
              <w:t xml:space="preserve">Demystifying Disability</w:t>
            </w:r>
            <w:r w:rsidDel="00000000" w:rsidR="00000000" w:rsidRPr="00000000">
              <w:rPr>
                <w:sz w:val="22"/>
                <w:szCs w:val="22"/>
                <w:rtl w:val="0"/>
              </w:rPr>
              <w:t xml:space="preserve"> (Ladau)</w:t>
            </w:r>
          </w:p>
          <w:p w:rsidR="00000000" w:rsidDel="00000000" w:rsidP="00000000" w:rsidRDefault="00000000" w:rsidRPr="00000000" w14:paraId="00000122">
            <w:pPr>
              <w:rPr>
                <w:sz w:val="22"/>
                <w:szCs w:val="22"/>
              </w:rPr>
            </w:pPr>
            <w:r w:rsidDel="00000000" w:rsidR="00000000" w:rsidRPr="00000000">
              <w:rPr>
                <w:rtl w:val="0"/>
              </w:rPr>
            </w:r>
          </w:p>
          <w:p w:rsidR="00000000" w:rsidDel="00000000" w:rsidP="00000000" w:rsidRDefault="00000000" w:rsidRPr="00000000" w14:paraId="00000123">
            <w:pPr>
              <w:rPr>
                <w:sz w:val="22"/>
                <w:szCs w:val="22"/>
              </w:rPr>
            </w:pPr>
            <w:r w:rsidDel="00000000" w:rsidR="00000000" w:rsidRPr="00000000">
              <w:rPr>
                <w:sz w:val="22"/>
                <w:szCs w:val="22"/>
                <w:rtl w:val="0"/>
              </w:rPr>
              <w:t xml:space="preserve">Blindness</w:t>
            </w:r>
          </w:p>
          <w:p w:rsidR="00000000" w:rsidDel="00000000" w:rsidP="00000000" w:rsidRDefault="00000000" w:rsidRPr="00000000" w14:paraId="00000124">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r w:rsidDel="00000000" w:rsidR="00000000" w:rsidRPr="00000000">
              <w:rPr>
                <w:color w:val="000000"/>
                <w:sz w:val="22"/>
                <w:szCs w:val="22"/>
                <w:rtl w:val="0"/>
              </w:rPr>
              <w:t xml:space="preserve">Mazella et al.(2014)</w:t>
            </w:r>
          </w:p>
          <w:p w:rsidR="00000000" w:rsidDel="00000000" w:rsidP="00000000" w:rsidRDefault="00000000" w:rsidRPr="00000000" w14:paraId="00000125">
            <w:pPr>
              <w:widowControl w:val="1"/>
              <w:numPr>
                <w:ilvl w:val="0"/>
                <w:numId w:val="2"/>
              </w:numPr>
              <w:pBdr>
                <w:top w:space="0" w:sz="0" w:val="nil"/>
                <w:left w:space="0" w:sz="0" w:val="nil"/>
                <w:bottom w:space="0" w:sz="0" w:val="nil"/>
                <w:right w:space="0" w:sz="0" w:val="nil"/>
                <w:between w:space="0" w:sz="0" w:val="nil"/>
              </w:pBdr>
              <w:ind w:left="500" w:hanging="360"/>
              <w:rPr>
                <w:color w:val="ff0000"/>
                <w:sz w:val="22"/>
                <w:szCs w:val="22"/>
              </w:rPr>
            </w:pPr>
            <w:r w:rsidDel="00000000" w:rsidR="00000000" w:rsidRPr="00000000">
              <w:rPr>
                <w:color w:val="000000"/>
                <w:sz w:val="22"/>
                <w:szCs w:val="22"/>
                <w:rtl w:val="0"/>
              </w:rPr>
              <w:t xml:space="preserve">Silverman &amp; Bell (2018)</w:t>
            </w:r>
            <w:r w:rsidDel="00000000" w:rsidR="00000000" w:rsidRPr="00000000">
              <w:rPr>
                <w:rtl w:val="0"/>
              </w:rPr>
            </w:r>
          </w:p>
        </w:tc>
        <w:tc>
          <w:tcPr/>
          <w:p w:rsidR="00000000" w:rsidDel="00000000" w:rsidP="00000000" w:rsidRDefault="00000000" w:rsidRPr="00000000" w14:paraId="00000126">
            <w:pPr>
              <w:rPr>
                <w:color w:val="ff0000"/>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27">
            <w:pPr>
              <w:jc w:val="center"/>
              <w:rPr>
                <w:sz w:val="22"/>
                <w:szCs w:val="22"/>
              </w:rPr>
            </w:pPr>
            <w:r w:rsidDel="00000000" w:rsidR="00000000" w:rsidRPr="00000000">
              <w:rPr>
                <w:sz w:val="22"/>
                <w:szCs w:val="22"/>
                <w:rtl w:val="0"/>
              </w:rPr>
              <w:t xml:space="preserve">3</w:t>
            </w:r>
          </w:p>
        </w:tc>
        <w:tc>
          <w:tcPr/>
          <w:p w:rsidR="00000000" w:rsidDel="00000000" w:rsidP="00000000" w:rsidRDefault="00000000" w:rsidRPr="00000000" w14:paraId="00000128">
            <w:pPr>
              <w:jc w:val="center"/>
              <w:rPr>
                <w:sz w:val="22"/>
                <w:szCs w:val="22"/>
              </w:rPr>
            </w:pPr>
            <w:r w:rsidDel="00000000" w:rsidR="00000000" w:rsidRPr="00000000">
              <w:rPr>
                <w:sz w:val="22"/>
                <w:szCs w:val="22"/>
                <w:rtl w:val="0"/>
              </w:rPr>
              <w:t xml:space="preserve">5/27</w:t>
            </w:r>
          </w:p>
        </w:tc>
        <w:tc>
          <w:tcPr/>
          <w:p w:rsidR="00000000" w:rsidDel="00000000" w:rsidP="00000000" w:rsidRDefault="00000000" w:rsidRPr="00000000" w14:paraId="00000129">
            <w:pPr>
              <w:rPr>
                <w:sz w:val="22"/>
                <w:szCs w:val="22"/>
              </w:rPr>
            </w:pPr>
            <w:r w:rsidDel="00000000" w:rsidR="00000000" w:rsidRPr="00000000">
              <w:rPr>
                <w:sz w:val="22"/>
                <w:szCs w:val="22"/>
                <w:highlight w:val="yellow"/>
                <w:rtl w:val="0"/>
              </w:rPr>
              <w:t xml:space="preserve">AM</w:t>
            </w:r>
            <w:r w:rsidDel="00000000" w:rsidR="00000000" w:rsidRPr="00000000">
              <w:rPr>
                <w:sz w:val="22"/>
                <w:szCs w:val="22"/>
                <w:rtl w:val="0"/>
              </w:rPr>
              <w:t xml:space="preserve"> – LI #1 presentations; </w:t>
            </w:r>
          </w:p>
          <w:p w:rsidR="00000000" w:rsidDel="00000000" w:rsidP="00000000" w:rsidRDefault="00000000" w:rsidRPr="00000000" w14:paraId="0000012A">
            <w:pPr>
              <w:rPr>
                <w:i w:val="1"/>
                <w:iCs w:val="1"/>
                <w:sz w:val="22"/>
                <w:szCs w:val="22"/>
              </w:rPr>
            </w:pPr>
            <w:r w:rsidDel="00000000" w:rsidR="00000000" w:rsidRPr="00000000">
              <w:rPr>
                <w:sz w:val="22"/>
                <w:szCs w:val="22"/>
                <w:rtl w:val="0"/>
              </w:rPr>
              <w:t xml:space="preserve">Ax &amp; Tx of Deaf or Hard of Hearing; Foundational Cog Skills; Nonverbal Ax; </w:t>
            </w:r>
            <w:r w:rsidDel="00000000" w:rsidR="00000000" w:rsidRPr="00000000">
              <w:rPr>
                <w:i w:val="1"/>
                <w:iCs w:val="1"/>
                <w:sz w:val="22"/>
                <w:szCs w:val="22"/>
                <w:rtl w:val="0"/>
              </w:rPr>
              <w:t xml:space="preserve">Smith-Johnson</w:t>
            </w:r>
            <w:r w:rsidDel="00000000" w:rsidR="00000000" w:rsidRPr="00000000">
              <w:rPr>
                <w:sz w:val="22"/>
                <w:szCs w:val="22"/>
                <w:rtl w:val="0"/>
              </w:rPr>
              <w:t xml:space="preserve">, </w:t>
            </w:r>
            <w:r w:rsidDel="00000000" w:rsidR="00000000" w:rsidRPr="00000000">
              <w:rPr>
                <w:i w:val="1"/>
                <w:iCs w:val="1"/>
                <w:sz w:val="22"/>
                <w:szCs w:val="22"/>
                <w:rtl w:val="0"/>
              </w:rPr>
              <w:t xml:space="preserve">C-TONI</w:t>
            </w:r>
            <w:r w:rsidDel="00000000" w:rsidR="00000000" w:rsidRPr="00000000">
              <w:rPr>
                <w:sz w:val="22"/>
                <w:szCs w:val="22"/>
                <w:rtl w:val="0"/>
              </w:rPr>
              <w:t xml:space="preserve">, </w:t>
            </w:r>
            <w:r w:rsidDel="00000000" w:rsidR="00000000" w:rsidRPr="00000000">
              <w:rPr>
                <w:i w:val="1"/>
                <w:iCs w:val="1"/>
                <w:sz w:val="22"/>
                <w:szCs w:val="22"/>
                <w:rtl w:val="0"/>
              </w:rPr>
              <w:t xml:space="preserve">Leiter-3</w:t>
            </w:r>
          </w:p>
          <w:p w:rsidR="00000000" w:rsidDel="00000000" w:rsidP="00000000" w:rsidRDefault="00000000" w:rsidRPr="00000000" w14:paraId="0000012B">
            <w:pPr>
              <w:rPr>
                <w:sz w:val="22"/>
                <w:szCs w:val="22"/>
              </w:rPr>
            </w:pPr>
            <w:r w:rsidDel="00000000" w:rsidR="00000000" w:rsidRPr="00000000">
              <w:rPr>
                <w:rtl w:val="0"/>
              </w:rPr>
            </w:r>
          </w:p>
          <w:p w:rsidR="00000000" w:rsidDel="00000000" w:rsidP="00000000" w:rsidRDefault="00000000" w:rsidRPr="00000000" w14:paraId="0000012C">
            <w:pPr>
              <w:rPr>
                <w:sz w:val="22"/>
                <w:szCs w:val="22"/>
              </w:rPr>
            </w:pPr>
            <w:r w:rsidDel="00000000" w:rsidR="00000000" w:rsidRPr="00000000">
              <w:rPr>
                <w:sz w:val="22"/>
                <w:szCs w:val="22"/>
                <w:highlight w:val="green"/>
                <w:rtl w:val="0"/>
              </w:rPr>
              <w:t xml:space="preserve">PM</w:t>
            </w:r>
            <w:r w:rsidDel="00000000" w:rsidR="00000000" w:rsidRPr="00000000">
              <w:rPr>
                <w:sz w:val="22"/>
                <w:szCs w:val="22"/>
                <w:rtl w:val="0"/>
              </w:rPr>
              <w:t xml:space="preserve"> - Ax &amp; Tx of Deaf/Blind; Ax adaptations; </w:t>
            </w:r>
            <w:r w:rsidDel="00000000" w:rsidR="00000000" w:rsidRPr="00000000">
              <w:rPr>
                <w:i w:val="1"/>
                <w:iCs w:val="1"/>
                <w:sz w:val="22"/>
                <w:szCs w:val="22"/>
                <w:rtl w:val="0"/>
              </w:rPr>
              <w:t xml:space="preserve">Dimensions of Communication</w:t>
            </w:r>
            <w:r w:rsidDel="00000000" w:rsidR="00000000" w:rsidRPr="00000000">
              <w:rPr>
                <w:rtl w:val="0"/>
              </w:rPr>
            </w:r>
          </w:p>
        </w:tc>
        <w:tc>
          <w:tcPr/>
          <w:p w:rsidR="00000000" w:rsidDel="00000000" w:rsidP="00000000" w:rsidRDefault="00000000" w:rsidRPr="00000000" w14:paraId="0000012D">
            <w:pPr>
              <w:rPr>
                <w:sz w:val="22"/>
                <w:szCs w:val="22"/>
              </w:rPr>
            </w:pPr>
            <w:r w:rsidDel="00000000" w:rsidR="00000000" w:rsidRPr="00000000">
              <w:rPr>
                <w:sz w:val="22"/>
                <w:szCs w:val="22"/>
                <w:rtl w:val="0"/>
              </w:rPr>
              <w:t xml:space="preserve">Deaf or Hard of Hearing </w:t>
            </w:r>
          </w:p>
          <w:p w:rsidR="00000000" w:rsidDel="00000000" w:rsidP="00000000" w:rsidRDefault="00000000" w:rsidRPr="00000000" w14:paraId="0000012E">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r w:rsidDel="00000000" w:rsidR="00000000" w:rsidRPr="00000000">
              <w:rPr>
                <w:color w:val="000000"/>
                <w:sz w:val="22"/>
                <w:szCs w:val="22"/>
                <w:rtl w:val="0"/>
              </w:rPr>
              <w:t xml:space="preserve">Crump &amp; Hamerdinger (2017)</w:t>
            </w:r>
          </w:p>
          <w:p w:rsidR="00000000" w:rsidDel="00000000" w:rsidP="00000000" w:rsidRDefault="00000000" w:rsidRPr="00000000" w14:paraId="0000012F">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r w:rsidDel="00000000" w:rsidR="00000000" w:rsidRPr="00000000">
              <w:rPr>
                <w:color w:val="000000"/>
                <w:sz w:val="22"/>
                <w:szCs w:val="22"/>
                <w:rtl w:val="0"/>
              </w:rPr>
              <w:t xml:space="preserve">Pollard (1996)</w:t>
            </w:r>
          </w:p>
          <w:p w:rsidR="00000000" w:rsidDel="00000000" w:rsidP="00000000" w:rsidRDefault="00000000" w:rsidRPr="00000000" w14:paraId="00000130">
            <w:pPr>
              <w:widowControl w:val="1"/>
              <w:pBdr>
                <w:top w:space="0" w:sz="0" w:val="nil"/>
                <w:left w:space="0" w:sz="0" w:val="nil"/>
                <w:bottom w:space="0" w:sz="0" w:val="nil"/>
                <w:right w:space="0" w:sz="0" w:val="nil"/>
                <w:between w:space="0" w:sz="0" w:val="nil"/>
              </w:pBdr>
              <w:ind w:left="500" w:firstLine="0"/>
              <w:rPr>
                <w:color w:val="000000"/>
                <w:sz w:val="22"/>
                <w:szCs w:val="22"/>
              </w:rPr>
            </w:pPr>
            <w:r w:rsidDel="00000000" w:rsidR="00000000" w:rsidRPr="00000000">
              <w:rPr>
                <w:color w:val="000000"/>
                <w:sz w:val="22"/>
                <w:szCs w:val="22"/>
                <w:rtl w:val="0"/>
              </w:rPr>
              <w:t xml:space="preserve">Sattler et al.(2006)</w:t>
            </w:r>
          </w:p>
          <w:p w:rsidR="00000000" w:rsidDel="00000000" w:rsidP="00000000" w:rsidRDefault="00000000" w:rsidRPr="00000000" w14:paraId="00000131">
            <w:pPr>
              <w:rPr>
                <w:sz w:val="22"/>
                <w:szCs w:val="22"/>
              </w:rPr>
            </w:pPr>
            <w:r w:rsidDel="00000000" w:rsidR="00000000" w:rsidRPr="00000000">
              <w:rPr>
                <w:sz w:val="22"/>
                <w:szCs w:val="22"/>
                <w:rtl w:val="0"/>
              </w:rPr>
              <w:t xml:space="preserve">Deaf/Blind</w:t>
            </w:r>
          </w:p>
          <w:p w:rsidR="00000000" w:rsidDel="00000000" w:rsidP="00000000" w:rsidRDefault="00000000" w:rsidRPr="00000000" w14:paraId="00000132">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r w:rsidDel="00000000" w:rsidR="00000000" w:rsidRPr="00000000">
              <w:rPr>
                <w:color w:val="000000"/>
                <w:sz w:val="22"/>
                <w:szCs w:val="22"/>
                <w:rtl w:val="0"/>
              </w:rPr>
              <w:t xml:space="preserve">Dammeyer (2011)</w:t>
            </w:r>
          </w:p>
          <w:p w:rsidR="00000000" w:rsidDel="00000000" w:rsidP="00000000" w:rsidRDefault="00000000" w:rsidRPr="00000000" w14:paraId="00000133">
            <w:pPr>
              <w:widowControl w:val="1"/>
              <w:pBdr>
                <w:top w:space="0" w:sz="0" w:val="nil"/>
                <w:left w:space="0" w:sz="0" w:val="nil"/>
                <w:bottom w:space="0" w:sz="0" w:val="nil"/>
                <w:right w:space="0" w:sz="0" w:val="nil"/>
                <w:between w:space="0" w:sz="0" w:val="nil"/>
              </w:pBdr>
              <w:ind w:left="500" w:firstLine="0"/>
              <w:rPr>
                <w:color w:val="000000"/>
                <w:sz w:val="22"/>
                <w:szCs w:val="22"/>
              </w:rPr>
            </w:pPr>
            <w:r w:rsidDel="00000000" w:rsidR="00000000" w:rsidRPr="00000000">
              <w:rPr>
                <w:color w:val="000000"/>
                <w:sz w:val="22"/>
                <w:szCs w:val="22"/>
                <w:rtl w:val="0"/>
              </w:rPr>
              <w:t xml:space="preserve">Fernández-Valderas (2017</w:t>
            </w:r>
          </w:p>
        </w:tc>
        <w:tc>
          <w:tcPr/>
          <w:p w:rsidR="00000000" w:rsidDel="00000000" w:rsidP="00000000" w:rsidRDefault="00000000" w:rsidRPr="00000000" w14:paraId="00000134">
            <w:pPr>
              <w:rPr>
                <w:sz w:val="22"/>
                <w:szCs w:val="22"/>
              </w:rPr>
            </w:pPr>
            <w:r w:rsidDel="00000000" w:rsidR="00000000" w:rsidRPr="00000000">
              <w:rPr>
                <w:sz w:val="22"/>
                <w:szCs w:val="22"/>
                <w:rtl w:val="0"/>
              </w:rPr>
              <w:t xml:space="preserve">LI #1 presentations and write-ups</w:t>
            </w:r>
          </w:p>
        </w:tc>
      </w:tr>
      <w:tr>
        <w:trPr>
          <w:cantSplit w:val="0"/>
          <w:tblHeader w:val="0"/>
        </w:trPr>
        <w:tc>
          <w:tcPr/>
          <w:p w:rsidR="00000000" w:rsidDel="00000000" w:rsidP="00000000" w:rsidRDefault="00000000" w:rsidRPr="00000000" w14:paraId="00000135">
            <w:pPr>
              <w:jc w:val="center"/>
              <w:rPr>
                <w:color w:val="000000"/>
                <w:sz w:val="22"/>
                <w:szCs w:val="22"/>
              </w:rPr>
            </w:pPr>
            <w:r w:rsidDel="00000000" w:rsidR="00000000" w:rsidRPr="00000000">
              <w:rPr>
                <w:color w:val="000000"/>
                <w:sz w:val="22"/>
                <w:szCs w:val="22"/>
                <w:rtl w:val="0"/>
              </w:rPr>
              <w:t xml:space="preserve">4</w:t>
            </w:r>
          </w:p>
        </w:tc>
        <w:tc>
          <w:tcPr/>
          <w:p w:rsidR="00000000" w:rsidDel="00000000" w:rsidP="00000000" w:rsidRDefault="00000000" w:rsidRPr="00000000" w14:paraId="00000136">
            <w:pPr>
              <w:jc w:val="center"/>
              <w:rPr>
                <w:color w:val="000000"/>
                <w:sz w:val="22"/>
                <w:szCs w:val="22"/>
              </w:rPr>
            </w:pPr>
            <w:r w:rsidDel="00000000" w:rsidR="00000000" w:rsidRPr="00000000">
              <w:rPr>
                <w:sz w:val="22"/>
                <w:szCs w:val="22"/>
                <w:rtl w:val="0"/>
              </w:rPr>
              <w:t xml:space="preserve">6</w:t>
            </w:r>
            <w:r w:rsidDel="00000000" w:rsidR="00000000" w:rsidRPr="00000000">
              <w:rPr>
                <w:color w:val="000000"/>
                <w:sz w:val="22"/>
                <w:szCs w:val="22"/>
                <w:rtl w:val="0"/>
              </w:rPr>
              <w:t xml:space="preserve">/3</w:t>
            </w:r>
          </w:p>
        </w:tc>
        <w:tc>
          <w:tcPr/>
          <w:p w:rsidR="00000000" w:rsidDel="00000000" w:rsidP="00000000" w:rsidRDefault="00000000" w:rsidRPr="00000000" w14:paraId="00000137">
            <w:pPr>
              <w:rPr>
                <w:sz w:val="22"/>
                <w:szCs w:val="22"/>
              </w:rPr>
            </w:pPr>
            <w:r w:rsidDel="00000000" w:rsidR="00000000" w:rsidRPr="00000000">
              <w:rPr>
                <w:sz w:val="22"/>
                <w:szCs w:val="22"/>
                <w:highlight w:val="yellow"/>
                <w:rtl w:val="0"/>
              </w:rPr>
              <w:t xml:space="preserve">AM</w:t>
            </w:r>
            <w:r w:rsidDel="00000000" w:rsidR="00000000" w:rsidRPr="00000000">
              <w:rPr>
                <w:sz w:val="22"/>
                <w:szCs w:val="22"/>
                <w:rtl w:val="0"/>
              </w:rPr>
              <w:t xml:space="preserve"> - Ax of Autism; Dxics and SDH; ASQ-3; DP-4; ADOS-2; CARS-2; GARS-3; ASRS; NEPSY-2</w:t>
            </w:r>
          </w:p>
          <w:p w:rsidR="00000000" w:rsidDel="00000000" w:rsidP="00000000" w:rsidRDefault="00000000" w:rsidRPr="00000000" w14:paraId="00000138">
            <w:pPr>
              <w:rPr>
                <w:sz w:val="22"/>
                <w:szCs w:val="22"/>
              </w:rPr>
            </w:pPr>
            <w:r w:rsidDel="00000000" w:rsidR="00000000" w:rsidRPr="00000000">
              <w:rPr>
                <w:rtl w:val="0"/>
              </w:rPr>
            </w:r>
          </w:p>
          <w:p w:rsidR="00000000" w:rsidDel="00000000" w:rsidP="00000000" w:rsidRDefault="00000000" w:rsidRPr="00000000" w14:paraId="00000139">
            <w:pPr>
              <w:rPr>
                <w:sz w:val="22"/>
                <w:szCs w:val="22"/>
              </w:rPr>
            </w:pPr>
            <w:r w:rsidDel="00000000" w:rsidR="00000000" w:rsidRPr="00000000">
              <w:rPr>
                <w:sz w:val="22"/>
                <w:szCs w:val="22"/>
                <w:highlight w:val="green"/>
                <w:rtl w:val="0"/>
              </w:rPr>
              <w:t xml:space="preserve">PM</w:t>
            </w:r>
            <w:r w:rsidDel="00000000" w:rsidR="00000000" w:rsidRPr="00000000">
              <w:rPr>
                <w:sz w:val="22"/>
                <w:szCs w:val="22"/>
                <w:rtl w:val="0"/>
              </w:rPr>
              <w:t xml:space="preserve"> - Tx of Autism; ABA; PRT; FloorTime; Neurodiversity; PBL #2</w:t>
            </w:r>
          </w:p>
        </w:tc>
        <w:tc>
          <w:tcPr/>
          <w:p w:rsidR="00000000" w:rsidDel="00000000" w:rsidP="00000000" w:rsidRDefault="00000000" w:rsidRPr="00000000" w14:paraId="0000013A">
            <w:pPr>
              <w:rPr>
                <w:sz w:val="22"/>
                <w:szCs w:val="22"/>
              </w:rPr>
            </w:pPr>
            <w:r w:rsidDel="00000000" w:rsidR="00000000" w:rsidRPr="00000000">
              <w:rPr>
                <w:sz w:val="22"/>
                <w:szCs w:val="22"/>
                <w:rtl w:val="0"/>
              </w:rPr>
              <w:t xml:space="preserve">Autism – Ax</w:t>
            </w:r>
          </w:p>
          <w:p w:rsidR="00000000" w:rsidDel="00000000" w:rsidP="00000000" w:rsidRDefault="00000000" w:rsidRPr="00000000" w14:paraId="0000013B">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r w:rsidDel="00000000" w:rsidR="00000000" w:rsidRPr="00000000">
              <w:rPr>
                <w:color w:val="000000"/>
                <w:sz w:val="22"/>
                <w:szCs w:val="22"/>
                <w:rtl w:val="0"/>
              </w:rPr>
              <w:t xml:space="preserve">Place et al.(2014)</w:t>
            </w:r>
          </w:p>
          <w:p w:rsidR="00000000" w:rsidDel="00000000" w:rsidP="00000000" w:rsidRDefault="00000000" w:rsidRPr="00000000" w14:paraId="0000013C">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r w:rsidDel="00000000" w:rsidR="00000000" w:rsidRPr="00000000">
              <w:rPr>
                <w:color w:val="000000"/>
                <w:sz w:val="22"/>
                <w:szCs w:val="22"/>
                <w:rtl w:val="0"/>
              </w:rPr>
              <w:t xml:space="preserve">Sheridan &amp; Lord (2020)</w:t>
            </w:r>
          </w:p>
          <w:p w:rsidR="00000000" w:rsidDel="00000000" w:rsidP="00000000" w:rsidRDefault="00000000" w:rsidRPr="00000000" w14:paraId="0000013D">
            <w:pPr>
              <w:widowControl w:val="1"/>
              <w:pBdr>
                <w:top w:space="0" w:sz="0" w:val="nil"/>
                <w:left w:space="0" w:sz="0" w:val="nil"/>
                <w:bottom w:space="0" w:sz="0" w:val="nil"/>
                <w:right w:space="0" w:sz="0" w:val="nil"/>
                <w:between w:space="0" w:sz="0" w:val="nil"/>
              </w:pBdr>
              <w:rPr>
                <w:sz w:val="22"/>
                <w:szCs w:val="22"/>
              </w:rPr>
            </w:pPr>
            <w:r w:rsidDel="00000000" w:rsidR="00000000" w:rsidRPr="00000000">
              <w:rPr>
                <w:rtl w:val="0"/>
              </w:rPr>
            </w:r>
          </w:p>
          <w:p w:rsidR="00000000" w:rsidDel="00000000" w:rsidP="00000000" w:rsidRDefault="00000000" w:rsidRPr="00000000" w14:paraId="0000013E">
            <w:pPr>
              <w:rPr>
                <w:sz w:val="22"/>
                <w:szCs w:val="22"/>
              </w:rPr>
            </w:pPr>
            <w:r w:rsidDel="00000000" w:rsidR="00000000" w:rsidRPr="00000000">
              <w:rPr>
                <w:sz w:val="22"/>
                <w:szCs w:val="22"/>
                <w:rtl w:val="0"/>
              </w:rPr>
              <w:t xml:space="preserve">Autism – Tx</w:t>
            </w:r>
          </w:p>
          <w:p w:rsidR="00000000" w:rsidDel="00000000" w:rsidP="00000000" w:rsidRDefault="00000000" w:rsidRPr="00000000" w14:paraId="0000013F">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r w:rsidDel="00000000" w:rsidR="00000000" w:rsidRPr="00000000">
              <w:rPr>
                <w:color w:val="000000"/>
                <w:sz w:val="22"/>
                <w:szCs w:val="22"/>
                <w:rtl w:val="0"/>
              </w:rPr>
              <w:t xml:space="preserve">Koegel et al.(2010)</w:t>
            </w:r>
          </w:p>
          <w:p w:rsidR="00000000" w:rsidDel="00000000" w:rsidP="00000000" w:rsidRDefault="00000000" w:rsidRPr="00000000" w14:paraId="00000140">
            <w:pPr>
              <w:widowControl w:val="1"/>
              <w:numPr>
                <w:ilvl w:val="0"/>
                <w:numId w:val="2"/>
              </w:numPr>
              <w:pBdr>
                <w:top w:space="0" w:sz="0" w:val="nil"/>
                <w:left w:space="0" w:sz="0" w:val="nil"/>
                <w:bottom w:space="0" w:sz="0" w:val="nil"/>
                <w:right w:space="0" w:sz="0" w:val="nil"/>
                <w:between w:space="0" w:sz="0" w:val="nil"/>
              </w:pBdr>
              <w:ind w:left="50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Smith (2010)</w:t>
            </w:r>
          </w:p>
          <w:p w:rsidR="00000000" w:rsidDel="00000000" w:rsidP="00000000" w:rsidRDefault="00000000" w:rsidRPr="00000000" w14:paraId="00000141">
            <w:pPr>
              <w:widowControl w:val="1"/>
              <w:pBdr>
                <w:top w:space="0" w:sz="0" w:val="nil"/>
                <w:left w:space="0" w:sz="0" w:val="nil"/>
                <w:bottom w:space="0" w:sz="0" w:val="nil"/>
                <w:right w:space="0" w:sz="0" w:val="nil"/>
                <w:between w:space="0" w:sz="0" w:val="nil"/>
              </w:pBd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42">
            <w:pPr>
              <w:widowControl w:val="1"/>
              <w:pBdr>
                <w:top w:space="0" w:sz="0" w:val="nil"/>
                <w:left w:space="0" w:sz="0" w:val="nil"/>
                <w:bottom w:space="0" w:sz="0" w:val="nil"/>
                <w:right w:space="0" w:sz="0" w:val="nil"/>
                <w:between w:space="0" w:sz="0" w:val="nil"/>
              </w:pBd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43">
            <w:pPr>
              <w:widowControl w:val="1"/>
              <w:pBdr>
                <w:top w:space="0" w:sz="0" w:val="nil"/>
                <w:left w:space="0" w:sz="0" w:val="nil"/>
                <w:bottom w:space="0" w:sz="0" w:val="nil"/>
                <w:right w:space="0" w:sz="0" w:val="nil"/>
                <w:between w:space="0" w:sz="0" w:val="nil"/>
              </w:pBd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44">
            <w:pPr>
              <w:widowControl w:val="1"/>
              <w:pBdr>
                <w:top w:space="0" w:sz="0" w:val="nil"/>
                <w:left w:space="0" w:sz="0" w:val="nil"/>
                <w:bottom w:space="0" w:sz="0" w:val="nil"/>
                <w:right w:space="0" w:sz="0" w:val="nil"/>
                <w:between w:space="0" w:sz="0" w:val="nil"/>
              </w:pBdr>
              <w:rPr>
                <w:rFonts w:ascii="Times New Roman" w:cs="Times New Roman" w:eastAsia="Times New Roman" w:hAnsi="Times New Roman"/>
                <w:sz w:val="22"/>
                <w:szCs w:val="22"/>
              </w:rPr>
            </w:pPr>
            <w:r w:rsidDel="00000000" w:rsidR="00000000" w:rsidRPr="00000000">
              <w:rPr>
                <w:rtl w:val="0"/>
              </w:rPr>
            </w:r>
          </w:p>
        </w:tc>
        <w:tc>
          <w:tcPr/>
          <w:p w:rsidR="00000000" w:rsidDel="00000000" w:rsidP="00000000" w:rsidRDefault="00000000" w:rsidRPr="00000000" w14:paraId="00000145">
            <w:pPr>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46">
            <w:pPr>
              <w:jc w:val="center"/>
              <w:rPr>
                <w:sz w:val="22"/>
                <w:szCs w:val="22"/>
              </w:rPr>
            </w:pPr>
            <w:r w:rsidDel="00000000" w:rsidR="00000000" w:rsidRPr="00000000">
              <w:rPr>
                <w:sz w:val="22"/>
                <w:szCs w:val="22"/>
                <w:rtl w:val="0"/>
              </w:rPr>
              <w:t xml:space="preserve">5</w:t>
            </w:r>
          </w:p>
        </w:tc>
        <w:tc>
          <w:tcPr/>
          <w:p w:rsidR="00000000" w:rsidDel="00000000" w:rsidP="00000000" w:rsidRDefault="00000000" w:rsidRPr="00000000" w14:paraId="00000147">
            <w:pPr>
              <w:jc w:val="center"/>
              <w:rPr>
                <w:sz w:val="22"/>
                <w:szCs w:val="22"/>
              </w:rPr>
            </w:pPr>
            <w:r w:rsidDel="00000000" w:rsidR="00000000" w:rsidRPr="00000000">
              <w:rPr>
                <w:sz w:val="22"/>
                <w:szCs w:val="22"/>
                <w:rtl w:val="0"/>
              </w:rPr>
              <w:t xml:space="preserve">6/10</w:t>
            </w:r>
          </w:p>
        </w:tc>
        <w:tc>
          <w:tcPr/>
          <w:p w:rsidR="00000000" w:rsidDel="00000000" w:rsidP="00000000" w:rsidRDefault="00000000" w:rsidRPr="00000000" w14:paraId="00000148">
            <w:pPr>
              <w:rPr>
                <w:sz w:val="22"/>
                <w:szCs w:val="22"/>
              </w:rPr>
            </w:pPr>
            <w:r w:rsidDel="00000000" w:rsidR="00000000" w:rsidRPr="00000000">
              <w:rPr>
                <w:sz w:val="22"/>
                <w:szCs w:val="22"/>
                <w:highlight w:val="yellow"/>
                <w:rtl w:val="0"/>
              </w:rPr>
              <w:t xml:space="preserve">AM</w:t>
            </w:r>
            <w:r w:rsidDel="00000000" w:rsidR="00000000" w:rsidRPr="00000000">
              <w:rPr>
                <w:sz w:val="22"/>
                <w:szCs w:val="22"/>
                <w:rtl w:val="0"/>
              </w:rPr>
              <w:t xml:space="preserve"> – LI #2 presentations;</w:t>
            </w:r>
          </w:p>
          <w:p w:rsidR="00000000" w:rsidDel="00000000" w:rsidP="00000000" w:rsidRDefault="00000000" w:rsidRPr="00000000" w14:paraId="00000149">
            <w:pPr>
              <w:rPr>
                <w:sz w:val="22"/>
                <w:szCs w:val="22"/>
              </w:rPr>
            </w:pPr>
            <w:r w:rsidDel="00000000" w:rsidR="00000000" w:rsidRPr="00000000">
              <w:rPr>
                <w:sz w:val="22"/>
                <w:szCs w:val="22"/>
                <w:rtl w:val="0"/>
              </w:rPr>
              <w:t xml:space="preserve">Ax &amp; Tx of LD; LD Dxics and SDH; ADHD; WJ-IV</w:t>
            </w:r>
          </w:p>
          <w:p w:rsidR="00000000" w:rsidDel="00000000" w:rsidP="00000000" w:rsidRDefault="00000000" w:rsidRPr="00000000" w14:paraId="0000014A">
            <w:pPr>
              <w:rPr>
                <w:sz w:val="22"/>
                <w:szCs w:val="22"/>
              </w:rPr>
            </w:pPr>
            <w:r w:rsidDel="00000000" w:rsidR="00000000" w:rsidRPr="00000000">
              <w:rPr>
                <w:rtl w:val="0"/>
              </w:rPr>
            </w:r>
          </w:p>
          <w:p w:rsidR="00000000" w:rsidDel="00000000" w:rsidP="00000000" w:rsidRDefault="00000000" w:rsidRPr="00000000" w14:paraId="0000014B">
            <w:pPr>
              <w:rPr>
                <w:sz w:val="22"/>
                <w:szCs w:val="22"/>
              </w:rPr>
            </w:pPr>
            <w:r w:rsidDel="00000000" w:rsidR="00000000" w:rsidRPr="00000000">
              <w:rPr>
                <w:sz w:val="22"/>
                <w:szCs w:val="22"/>
                <w:highlight w:val="green"/>
                <w:rtl w:val="0"/>
              </w:rPr>
              <w:t xml:space="preserve">PM</w:t>
            </w:r>
            <w:r w:rsidDel="00000000" w:rsidR="00000000" w:rsidRPr="00000000">
              <w:rPr>
                <w:sz w:val="22"/>
                <w:szCs w:val="22"/>
                <w:rtl w:val="0"/>
              </w:rPr>
              <w:t xml:space="preserve"> - Ax &amp; Tx considerations in military veterans</w:t>
            </w:r>
          </w:p>
        </w:tc>
        <w:tc>
          <w:tcPr/>
          <w:p w:rsidR="00000000" w:rsidDel="00000000" w:rsidP="00000000" w:rsidRDefault="00000000" w:rsidRPr="00000000" w14:paraId="0000014C">
            <w:pPr>
              <w:rPr>
                <w:sz w:val="22"/>
                <w:szCs w:val="22"/>
              </w:rPr>
            </w:pPr>
            <w:r w:rsidDel="00000000" w:rsidR="00000000" w:rsidRPr="00000000">
              <w:rPr>
                <w:sz w:val="22"/>
                <w:szCs w:val="22"/>
                <w:rtl w:val="0"/>
              </w:rPr>
              <w:t xml:space="preserve">LD/ADHD</w:t>
            </w:r>
          </w:p>
          <w:p w:rsidR="00000000" w:rsidDel="00000000" w:rsidP="00000000" w:rsidRDefault="00000000" w:rsidRPr="00000000" w14:paraId="0000014D">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r w:rsidDel="00000000" w:rsidR="00000000" w:rsidRPr="00000000">
              <w:rPr>
                <w:color w:val="000000"/>
                <w:sz w:val="22"/>
                <w:szCs w:val="22"/>
                <w:rtl w:val="0"/>
              </w:rPr>
              <w:t xml:space="preserve">Biswas &amp; Furniss (2009)</w:t>
            </w:r>
          </w:p>
          <w:p w:rsidR="00000000" w:rsidDel="00000000" w:rsidP="00000000" w:rsidRDefault="00000000" w:rsidRPr="00000000" w14:paraId="0000014E">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r w:rsidDel="00000000" w:rsidR="00000000" w:rsidRPr="00000000">
              <w:rPr>
                <w:color w:val="000000"/>
                <w:sz w:val="22"/>
                <w:szCs w:val="22"/>
                <w:rtl w:val="0"/>
              </w:rPr>
              <w:t xml:space="preserve">McGill et al.(2020)</w:t>
            </w:r>
          </w:p>
          <w:p w:rsidR="00000000" w:rsidDel="00000000" w:rsidP="00000000" w:rsidRDefault="00000000" w:rsidRPr="00000000" w14:paraId="0000014F">
            <w:pPr>
              <w:widowControl w:val="1"/>
              <w:numPr>
                <w:ilvl w:val="0"/>
                <w:numId w:val="2"/>
              </w:numPr>
              <w:pBdr>
                <w:top w:space="0" w:sz="0" w:val="nil"/>
                <w:left w:space="0" w:sz="0" w:val="nil"/>
                <w:bottom w:space="0" w:sz="0" w:val="nil"/>
                <w:right w:space="0" w:sz="0" w:val="nil"/>
                <w:between w:space="0" w:sz="0" w:val="nil"/>
              </w:pBdr>
              <w:ind w:left="50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Zablonsky &amp; Alford (2020)</w:t>
            </w:r>
          </w:p>
          <w:p w:rsidR="00000000" w:rsidDel="00000000" w:rsidP="00000000" w:rsidRDefault="00000000" w:rsidRPr="00000000" w14:paraId="00000150">
            <w:pPr>
              <w:pBdr>
                <w:top w:space="0" w:sz="0" w:val="nil"/>
                <w:left w:space="0" w:sz="0" w:val="nil"/>
                <w:bottom w:space="0" w:sz="0" w:val="nil"/>
                <w:right w:space="0" w:sz="0" w:val="nil"/>
                <w:between w:space="0" w:sz="0" w:val="nil"/>
              </w:pBdr>
              <w:ind w:left="140" w:firstLine="0"/>
              <w:rPr>
                <w:sz w:val="22"/>
                <w:szCs w:val="22"/>
              </w:rPr>
            </w:pPr>
            <w:r w:rsidDel="00000000" w:rsidR="00000000" w:rsidRPr="00000000">
              <w:rPr>
                <w:sz w:val="22"/>
                <w:szCs w:val="22"/>
                <w:rtl w:val="0"/>
              </w:rPr>
              <w:t xml:space="preserve">Military veterans</w:t>
            </w:r>
          </w:p>
          <w:p w:rsidR="00000000" w:rsidDel="00000000" w:rsidP="00000000" w:rsidRDefault="00000000" w:rsidRPr="00000000" w14:paraId="00000151">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r w:rsidDel="00000000" w:rsidR="00000000" w:rsidRPr="00000000">
              <w:rPr>
                <w:color w:val="000000"/>
                <w:sz w:val="22"/>
                <w:szCs w:val="22"/>
                <w:rtl w:val="0"/>
              </w:rPr>
              <w:t xml:space="preserve">Back et al.(2019)</w:t>
            </w:r>
          </w:p>
          <w:p w:rsidR="00000000" w:rsidDel="00000000" w:rsidP="00000000" w:rsidRDefault="00000000" w:rsidRPr="00000000" w14:paraId="00000152">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r w:rsidDel="00000000" w:rsidR="00000000" w:rsidRPr="00000000">
              <w:rPr>
                <w:color w:val="000000"/>
                <w:sz w:val="22"/>
                <w:szCs w:val="22"/>
                <w:rtl w:val="0"/>
              </w:rPr>
              <w:t xml:space="preserve">Elbogen et al.(2019)</w:t>
            </w:r>
          </w:p>
          <w:p w:rsidR="00000000" w:rsidDel="00000000" w:rsidP="00000000" w:rsidRDefault="00000000" w:rsidRPr="00000000" w14:paraId="00000153">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r w:rsidDel="00000000" w:rsidR="00000000" w:rsidRPr="00000000">
              <w:rPr>
                <w:color w:val="000000"/>
                <w:sz w:val="22"/>
                <w:szCs w:val="22"/>
                <w:rtl w:val="0"/>
              </w:rPr>
              <w:t xml:space="preserve">Ringer et al.(2018)</w:t>
            </w:r>
          </w:p>
          <w:p w:rsidR="00000000" w:rsidDel="00000000" w:rsidP="00000000" w:rsidRDefault="00000000" w:rsidRPr="00000000" w14:paraId="00000154">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r w:rsidDel="00000000" w:rsidR="00000000" w:rsidRPr="00000000">
              <w:rPr>
                <w:color w:val="000000"/>
                <w:sz w:val="22"/>
                <w:szCs w:val="22"/>
                <w:rtl w:val="0"/>
              </w:rPr>
              <w:t xml:space="preserve">Stecker et al.(2007)</w:t>
            </w:r>
          </w:p>
          <w:p w:rsidR="00000000" w:rsidDel="00000000" w:rsidP="00000000" w:rsidRDefault="00000000" w:rsidRPr="00000000" w14:paraId="00000155">
            <w:pPr>
              <w:widowControl w:val="1"/>
              <w:numPr>
                <w:ilvl w:val="0"/>
                <w:numId w:val="2"/>
              </w:numPr>
              <w:pBdr>
                <w:top w:space="0" w:sz="0" w:val="nil"/>
                <w:left w:space="0" w:sz="0" w:val="nil"/>
                <w:bottom w:space="0" w:sz="0" w:val="nil"/>
                <w:right w:space="0" w:sz="0" w:val="nil"/>
                <w:between w:space="0" w:sz="0" w:val="nil"/>
              </w:pBdr>
              <w:ind w:left="50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National Academies of Science, Engineering, &amp; Medicine (2018)</w:t>
            </w:r>
          </w:p>
        </w:tc>
        <w:tc>
          <w:tcPr/>
          <w:p w:rsidR="00000000" w:rsidDel="00000000" w:rsidP="00000000" w:rsidRDefault="00000000" w:rsidRPr="00000000" w14:paraId="00000156">
            <w:pPr>
              <w:rPr>
                <w:sz w:val="22"/>
                <w:szCs w:val="22"/>
              </w:rPr>
            </w:pPr>
            <w:r w:rsidDel="00000000" w:rsidR="00000000" w:rsidRPr="00000000">
              <w:rPr>
                <w:sz w:val="22"/>
                <w:szCs w:val="22"/>
                <w:rtl w:val="0"/>
              </w:rPr>
              <w:t xml:space="preserve">LI #2 presentations and write-ups</w:t>
            </w:r>
          </w:p>
        </w:tc>
      </w:tr>
      <w:tr>
        <w:trPr>
          <w:cantSplit w:val="0"/>
          <w:tblHeader w:val="0"/>
        </w:trPr>
        <w:tc>
          <w:tcPr/>
          <w:p w:rsidR="00000000" w:rsidDel="00000000" w:rsidP="00000000" w:rsidRDefault="00000000" w:rsidRPr="00000000" w14:paraId="00000157">
            <w:pPr>
              <w:jc w:val="center"/>
              <w:rPr>
                <w:sz w:val="22"/>
                <w:szCs w:val="22"/>
              </w:rPr>
            </w:pPr>
            <w:r w:rsidDel="00000000" w:rsidR="00000000" w:rsidRPr="00000000">
              <w:rPr>
                <w:sz w:val="22"/>
                <w:szCs w:val="22"/>
                <w:rtl w:val="0"/>
              </w:rPr>
              <w:t xml:space="preserve">6</w:t>
            </w:r>
          </w:p>
          <w:p w:rsidR="00000000" w:rsidDel="00000000" w:rsidP="00000000" w:rsidRDefault="00000000" w:rsidRPr="00000000" w14:paraId="00000158">
            <w:pPr>
              <w:jc w:val="center"/>
              <w:rPr>
                <w:sz w:val="22"/>
                <w:szCs w:val="22"/>
              </w:rPr>
            </w:pPr>
            <w:r w:rsidDel="00000000" w:rsidR="00000000" w:rsidRPr="00000000">
              <w:rPr>
                <w:rtl w:val="0"/>
              </w:rPr>
            </w:r>
          </w:p>
          <w:p w:rsidR="00000000" w:rsidDel="00000000" w:rsidP="00000000" w:rsidRDefault="00000000" w:rsidRPr="00000000" w14:paraId="00000159">
            <w:pPr>
              <w:jc w:val="center"/>
              <w:rPr>
                <w:sz w:val="22"/>
                <w:szCs w:val="22"/>
              </w:rPr>
            </w:pPr>
            <w:r w:rsidDel="00000000" w:rsidR="00000000" w:rsidRPr="00000000">
              <w:rPr>
                <w:rtl w:val="0"/>
              </w:rPr>
            </w:r>
          </w:p>
          <w:p w:rsidR="00000000" w:rsidDel="00000000" w:rsidP="00000000" w:rsidRDefault="00000000" w:rsidRPr="00000000" w14:paraId="0000015A">
            <w:pPr>
              <w:jc w:val="center"/>
              <w:rPr>
                <w:sz w:val="22"/>
                <w:szCs w:val="22"/>
              </w:rPr>
            </w:pPr>
            <w:r w:rsidDel="00000000" w:rsidR="00000000" w:rsidRPr="00000000">
              <w:rPr>
                <w:rtl w:val="0"/>
              </w:rPr>
            </w:r>
          </w:p>
        </w:tc>
        <w:tc>
          <w:tcPr/>
          <w:p w:rsidR="00000000" w:rsidDel="00000000" w:rsidP="00000000" w:rsidRDefault="00000000" w:rsidRPr="00000000" w14:paraId="0000015B">
            <w:pPr>
              <w:jc w:val="center"/>
              <w:rPr>
                <w:sz w:val="22"/>
                <w:szCs w:val="22"/>
              </w:rPr>
            </w:pPr>
            <w:r w:rsidDel="00000000" w:rsidR="00000000" w:rsidRPr="00000000">
              <w:rPr>
                <w:sz w:val="22"/>
                <w:szCs w:val="22"/>
                <w:rtl w:val="0"/>
              </w:rPr>
              <w:t xml:space="preserve">6/17</w:t>
            </w:r>
          </w:p>
          <w:p w:rsidR="00000000" w:rsidDel="00000000" w:rsidP="00000000" w:rsidRDefault="00000000" w:rsidRPr="00000000" w14:paraId="0000015C">
            <w:pPr>
              <w:jc w:val="center"/>
              <w:rPr>
                <w:sz w:val="22"/>
                <w:szCs w:val="22"/>
              </w:rPr>
            </w:pPr>
            <w:r w:rsidDel="00000000" w:rsidR="00000000" w:rsidRPr="00000000">
              <w:rPr>
                <w:rtl w:val="0"/>
              </w:rPr>
            </w:r>
          </w:p>
          <w:p w:rsidR="00000000" w:rsidDel="00000000" w:rsidP="00000000" w:rsidRDefault="00000000" w:rsidRPr="00000000" w14:paraId="0000015D">
            <w:pPr>
              <w:jc w:val="center"/>
              <w:rPr>
                <w:sz w:val="22"/>
                <w:szCs w:val="22"/>
              </w:rPr>
            </w:pPr>
            <w:r w:rsidDel="00000000" w:rsidR="00000000" w:rsidRPr="00000000">
              <w:rPr>
                <w:rtl w:val="0"/>
              </w:rPr>
            </w:r>
          </w:p>
          <w:p w:rsidR="00000000" w:rsidDel="00000000" w:rsidP="00000000" w:rsidRDefault="00000000" w:rsidRPr="00000000" w14:paraId="0000015E">
            <w:pPr>
              <w:jc w:val="center"/>
              <w:rPr>
                <w:sz w:val="22"/>
                <w:szCs w:val="22"/>
              </w:rPr>
            </w:pPr>
            <w:r w:rsidDel="00000000" w:rsidR="00000000" w:rsidRPr="00000000">
              <w:rPr>
                <w:rtl w:val="0"/>
              </w:rPr>
            </w:r>
          </w:p>
        </w:tc>
        <w:tc>
          <w:tcPr/>
          <w:p w:rsidR="00000000" w:rsidDel="00000000" w:rsidP="00000000" w:rsidRDefault="00000000" w:rsidRPr="00000000" w14:paraId="0000015F">
            <w:pPr>
              <w:rPr>
                <w:sz w:val="22"/>
                <w:szCs w:val="22"/>
              </w:rPr>
            </w:pPr>
            <w:r w:rsidDel="00000000" w:rsidR="00000000" w:rsidRPr="00000000">
              <w:rPr>
                <w:sz w:val="22"/>
                <w:szCs w:val="22"/>
                <w:highlight w:val="yellow"/>
                <w:rtl w:val="0"/>
              </w:rPr>
              <w:t xml:space="preserve">AM</w:t>
            </w:r>
            <w:r w:rsidDel="00000000" w:rsidR="00000000" w:rsidRPr="00000000">
              <w:rPr>
                <w:sz w:val="22"/>
                <w:szCs w:val="22"/>
                <w:rtl w:val="0"/>
              </w:rPr>
              <w:t xml:space="preserve"> - Teach-Ins – Guidelines for working with special populations</w:t>
            </w:r>
          </w:p>
          <w:p w:rsidR="00000000" w:rsidDel="00000000" w:rsidP="00000000" w:rsidRDefault="00000000" w:rsidRPr="00000000" w14:paraId="00000160">
            <w:pPr>
              <w:rPr>
                <w:sz w:val="22"/>
                <w:szCs w:val="22"/>
              </w:rPr>
            </w:pPr>
            <w:r w:rsidDel="00000000" w:rsidR="00000000" w:rsidRPr="00000000">
              <w:rPr>
                <w:rtl w:val="0"/>
              </w:rPr>
            </w:r>
          </w:p>
          <w:p w:rsidR="00000000" w:rsidDel="00000000" w:rsidP="00000000" w:rsidRDefault="00000000" w:rsidRPr="00000000" w14:paraId="00000161">
            <w:pPr>
              <w:rPr>
                <w:sz w:val="22"/>
                <w:szCs w:val="22"/>
              </w:rPr>
            </w:pPr>
            <w:r w:rsidDel="00000000" w:rsidR="00000000" w:rsidRPr="00000000">
              <w:rPr>
                <w:sz w:val="22"/>
                <w:szCs w:val="22"/>
                <w:highlight w:val="green"/>
                <w:rtl w:val="0"/>
              </w:rPr>
              <w:t xml:space="preserve">PM</w:t>
            </w:r>
            <w:r w:rsidDel="00000000" w:rsidR="00000000" w:rsidRPr="00000000">
              <w:rPr>
                <w:sz w:val="22"/>
                <w:szCs w:val="22"/>
                <w:rtl w:val="0"/>
              </w:rPr>
              <w:t xml:space="preserve"> - Ax &amp; Tx considerations when working with folks with low income (poverty).</w:t>
            </w:r>
          </w:p>
        </w:tc>
        <w:tc>
          <w:tcPr/>
          <w:p w:rsidR="00000000" w:rsidDel="00000000" w:rsidP="00000000" w:rsidRDefault="00000000" w:rsidRPr="00000000" w14:paraId="00000162">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r w:rsidDel="00000000" w:rsidR="00000000" w:rsidRPr="00000000">
              <w:rPr>
                <w:color w:val="000000"/>
                <w:sz w:val="22"/>
                <w:szCs w:val="22"/>
                <w:rtl w:val="0"/>
              </w:rPr>
              <w:t xml:space="preserve">Readings TBA (assign 2)</w:t>
            </w:r>
          </w:p>
          <w:p w:rsidR="00000000" w:rsidDel="00000000" w:rsidP="00000000" w:rsidRDefault="00000000" w:rsidRPr="00000000" w14:paraId="00000163">
            <w:pPr>
              <w:widowControl w:val="1"/>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164">
            <w:pPr>
              <w:widowControl w:val="1"/>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165">
            <w:pPr>
              <w:rPr>
                <w:sz w:val="22"/>
                <w:szCs w:val="22"/>
              </w:rPr>
            </w:pPr>
            <w:r w:rsidDel="00000000" w:rsidR="00000000" w:rsidRPr="00000000">
              <w:rPr>
                <w:sz w:val="22"/>
                <w:szCs w:val="22"/>
                <w:rtl w:val="0"/>
              </w:rPr>
              <w:t xml:space="preserve">"Poverty"</w:t>
            </w:r>
          </w:p>
          <w:p w:rsidR="00000000" w:rsidDel="00000000" w:rsidP="00000000" w:rsidRDefault="00000000" w:rsidRPr="00000000" w14:paraId="00000166">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r w:rsidDel="00000000" w:rsidR="00000000" w:rsidRPr="00000000">
              <w:rPr>
                <w:color w:val="000000"/>
                <w:sz w:val="22"/>
                <w:szCs w:val="22"/>
                <w:rtl w:val="0"/>
              </w:rPr>
              <w:t xml:space="preserve">Goodman et al.(2013)</w:t>
            </w:r>
          </w:p>
          <w:p w:rsidR="00000000" w:rsidDel="00000000" w:rsidP="00000000" w:rsidRDefault="00000000" w:rsidRPr="00000000" w14:paraId="00000167">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r w:rsidDel="00000000" w:rsidR="00000000" w:rsidRPr="00000000">
              <w:rPr>
                <w:color w:val="000000"/>
                <w:sz w:val="22"/>
                <w:szCs w:val="22"/>
                <w:rtl w:val="0"/>
              </w:rPr>
              <w:t xml:space="preserve">Hawkins &amp; Kim (2012)</w:t>
            </w:r>
          </w:p>
          <w:p w:rsidR="00000000" w:rsidDel="00000000" w:rsidP="00000000" w:rsidRDefault="00000000" w:rsidRPr="00000000" w14:paraId="00000168">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r w:rsidDel="00000000" w:rsidR="00000000" w:rsidRPr="00000000">
              <w:rPr>
                <w:color w:val="000000"/>
                <w:sz w:val="22"/>
                <w:szCs w:val="22"/>
                <w:rtl w:val="0"/>
              </w:rPr>
              <w:t xml:space="preserve">Kim &amp; Cardemil (2012)</w:t>
            </w:r>
          </w:p>
          <w:p w:rsidR="00000000" w:rsidDel="00000000" w:rsidP="00000000" w:rsidRDefault="00000000" w:rsidRPr="00000000" w14:paraId="00000169">
            <w:pPr>
              <w:widowControl w:val="1"/>
              <w:numPr>
                <w:ilvl w:val="0"/>
                <w:numId w:val="2"/>
              </w:numPr>
              <w:pBdr>
                <w:top w:space="0" w:sz="0" w:val="nil"/>
                <w:left w:space="0" w:sz="0" w:val="nil"/>
                <w:bottom w:space="0" w:sz="0" w:val="nil"/>
                <w:right w:space="0" w:sz="0" w:val="nil"/>
                <w:between w:space="0" w:sz="0" w:val="nil"/>
              </w:pBdr>
              <w:ind w:left="50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Sue et al.(2019)</w:t>
            </w:r>
          </w:p>
        </w:tc>
        <w:tc>
          <w:tcPr/>
          <w:p w:rsidR="00000000" w:rsidDel="00000000" w:rsidP="00000000" w:rsidRDefault="00000000" w:rsidRPr="00000000" w14:paraId="0000016A">
            <w:pPr>
              <w:rPr>
                <w:sz w:val="22"/>
                <w:szCs w:val="22"/>
              </w:rPr>
            </w:pPr>
            <w:r w:rsidDel="00000000" w:rsidR="00000000" w:rsidRPr="00000000">
              <w:rPr>
                <w:sz w:val="22"/>
                <w:szCs w:val="22"/>
                <w:rtl w:val="0"/>
              </w:rPr>
              <w:t xml:space="preserve">Teach-In ppts &amp; PDFs of readings.</w:t>
            </w:r>
          </w:p>
        </w:tc>
      </w:tr>
      <w:tr>
        <w:trPr>
          <w:cantSplit w:val="0"/>
          <w:tblHeader w:val="0"/>
        </w:trPr>
        <w:tc>
          <w:tcPr/>
          <w:p w:rsidR="00000000" w:rsidDel="00000000" w:rsidP="00000000" w:rsidRDefault="00000000" w:rsidRPr="00000000" w14:paraId="0000016B">
            <w:pPr>
              <w:jc w:val="center"/>
              <w:rPr>
                <w:sz w:val="22"/>
                <w:szCs w:val="22"/>
              </w:rPr>
            </w:pPr>
            <w:r w:rsidDel="00000000" w:rsidR="00000000" w:rsidRPr="00000000">
              <w:rPr>
                <w:sz w:val="22"/>
                <w:szCs w:val="22"/>
                <w:rtl w:val="0"/>
              </w:rPr>
              <w:t xml:space="preserve">7</w:t>
            </w:r>
          </w:p>
        </w:tc>
        <w:tc>
          <w:tcPr/>
          <w:p w:rsidR="00000000" w:rsidDel="00000000" w:rsidP="00000000" w:rsidRDefault="00000000" w:rsidRPr="00000000" w14:paraId="0000016C">
            <w:pPr>
              <w:jc w:val="center"/>
              <w:rPr>
                <w:sz w:val="22"/>
                <w:szCs w:val="22"/>
              </w:rPr>
            </w:pPr>
            <w:r w:rsidDel="00000000" w:rsidR="00000000" w:rsidRPr="00000000">
              <w:rPr>
                <w:sz w:val="22"/>
                <w:szCs w:val="22"/>
                <w:rtl w:val="0"/>
              </w:rPr>
              <w:t xml:space="preserve">6/24</w:t>
            </w:r>
          </w:p>
        </w:tc>
        <w:tc>
          <w:tcPr/>
          <w:p w:rsidR="00000000" w:rsidDel="00000000" w:rsidP="00000000" w:rsidRDefault="00000000" w:rsidRPr="00000000" w14:paraId="0000016D">
            <w:pPr>
              <w:rPr>
                <w:sz w:val="22"/>
                <w:szCs w:val="22"/>
              </w:rPr>
            </w:pPr>
            <w:r w:rsidDel="00000000" w:rsidR="00000000" w:rsidRPr="00000000">
              <w:rPr>
                <w:sz w:val="22"/>
                <w:szCs w:val="22"/>
                <w:highlight w:val="yellow"/>
                <w:rtl w:val="0"/>
              </w:rPr>
              <w:t xml:space="preserve">AM</w:t>
            </w:r>
            <w:r w:rsidDel="00000000" w:rsidR="00000000" w:rsidRPr="00000000">
              <w:rPr>
                <w:sz w:val="22"/>
                <w:szCs w:val="22"/>
                <w:rtl w:val="0"/>
              </w:rPr>
              <w:t xml:space="preserve"> - Ax and Tx considerations in Trauma; TF-CBT; (possible guest speaker)</w:t>
            </w:r>
          </w:p>
          <w:p w:rsidR="00000000" w:rsidDel="00000000" w:rsidP="00000000" w:rsidRDefault="00000000" w:rsidRPr="00000000" w14:paraId="0000016E">
            <w:pPr>
              <w:rPr>
                <w:sz w:val="22"/>
                <w:szCs w:val="22"/>
              </w:rPr>
            </w:pPr>
            <w:r w:rsidDel="00000000" w:rsidR="00000000" w:rsidRPr="00000000">
              <w:rPr>
                <w:rtl w:val="0"/>
              </w:rPr>
            </w:r>
          </w:p>
          <w:p w:rsidR="00000000" w:rsidDel="00000000" w:rsidP="00000000" w:rsidRDefault="00000000" w:rsidRPr="00000000" w14:paraId="0000016F">
            <w:pPr>
              <w:rPr>
                <w:sz w:val="22"/>
                <w:szCs w:val="22"/>
              </w:rPr>
            </w:pPr>
            <w:r w:rsidDel="00000000" w:rsidR="00000000" w:rsidRPr="00000000">
              <w:rPr>
                <w:rtl w:val="0"/>
              </w:rPr>
            </w:r>
          </w:p>
          <w:p w:rsidR="00000000" w:rsidDel="00000000" w:rsidP="00000000" w:rsidRDefault="00000000" w:rsidRPr="00000000" w14:paraId="00000170">
            <w:pPr>
              <w:rPr>
                <w:sz w:val="22"/>
                <w:szCs w:val="22"/>
              </w:rPr>
            </w:pPr>
            <w:r w:rsidDel="00000000" w:rsidR="00000000" w:rsidRPr="00000000">
              <w:rPr>
                <w:rtl w:val="0"/>
              </w:rPr>
            </w:r>
          </w:p>
          <w:p w:rsidR="00000000" w:rsidDel="00000000" w:rsidP="00000000" w:rsidRDefault="00000000" w:rsidRPr="00000000" w14:paraId="00000171">
            <w:pPr>
              <w:rPr>
                <w:sz w:val="22"/>
                <w:szCs w:val="22"/>
              </w:rPr>
            </w:pPr>
            <w:r w:rsidDel="00000000" w:rsidR="00000000" w:rsidRPr="00000000">
              <w:rPr>
                <w:sz w:val="22"/>
                <w:szCs w:val="22"/>
                <w:highlight w:val="green"/>
                <w:rtl w:val="0"/>
              </w:rPr>
              <w:t xml:space="preserve">PM</w:t>
            </w:r>
            <w:r w:rsidDel="00000000" w:rsidR="00000000" w:rsidRPr="00000000">
              <w:rPr>
                <w:sz w:val="22"/>
                <w:szCs w:val="22"/>
                <w:rtl w:val="0"/>
              </w:rPr>
              <w:t xml:space="preserve"> – Ax &amp; Tx considerations in working with immigrants</w:t>
            </w:r>
          </w:p>
        </w:tc>
        <w:tc>
          <w:tcPr/>
          <w:p w:rsidR="00000000" w:rsidDel="00000000" w:rsidP="00000000" w:rsidRDefault="00000000" w:rsidRPr="00000000" w14:paraId="00000172">
            <w:pPr>
              <w:rPr>
                <w:sz w:val="22"/>
                <w:szCs w:val="22"/>
              </w:rPr>
            </w:pPr>
            <w:r w:rsidDel="00000000" w:rsidR="00000000" w:rsidRPr="00000000">
              <w:rPr>
                <w:sz w:val="22"/>
                <w:szCs w:val="22"/>
                <w:rtl w:val="0"/>
              </w:rPr>
              <w:t xml:space="preserve">Trauma</w:t>
            </w:r>
          </w:p>
          <w:p w:rsidR="00000000" w:rsidDel="00000000" w:rsidP="00000000" w:rsidRDefault="00000000" w:rsidRPr="00000000" w14:paraId="00000173">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r w:rsidDel="00000000" w:rsidR="00000000" w:rsidRPr="00000000">
              <w:rPr>
                <w:color w:val="000000"/>
                <w:sz w:val="22"/>
                <w:szCs w:val="22"/>
                <w:rtl w:val="0"/>
              </w:rPr>
              <w:t xml:space="preserve">Bremner et al.(2000)</w:t>
            </w:r>
          </w:p>
          <w:p w:rsidR="00000000" w:rsidDel="00000000" w:rsidP="00000000" w:rsidRDefault="00000000" w:rsidRPr="00000000" w14:paraId="00000174">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r w:rsidDel="00000000" w:rsidR="00000000" w:rsidRPr="00000000">
              <w:rPr>
                <w:color w:val="000000"/>
                <w:sz w:val="22"/>
                <w:szCs w:val="22"/>
                <w:rtl w:val="0"/>
              </w:rPr>
              <w:t xml:space="preserve">Grant et al.(2020)</w:t>
            </w:r>
          </w:p>
          <w:p w:rsidR="00000000" w:rsidDel="00000000" w:rsidP="00000000" w:rsidRDefault="00000000" w:rsidRPr="00000000" w14:paraId="00000175">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r w:rsidDel="00000000" w:rsidR="00000000" w:rsidRPr="00000000">
              <w:rPr>
                <w:color w:val="000000"/>
                <w:sz w:val="22"/>
                <w:szCs w:val="22"/>
                <w:rtl w:val="0"/>
              </w:rPr>
              <w:t xml:space="preserve">Cohen et al.(2010)</w:t>
            </w:r>
          </w:p>
          <w:p w:rsidR="00000000" w:rsidDel="00000000" w:rsidP="00000000" w:rsidRDefault="00000000" w:rsidRPr="00000000" w14:paraId="00000176">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r w:rsidDel="00000000" w:rsidR="00000000" w:rsidRPr="00000000">
              <w:rPr>
                <w:color w:val="000000"/>
                <w:sz w:val="22"/>
                <w:szCs w:val="22"/>
                <w:rtl w:val="0"/>
              </w:rPr>
              <w:t xml:space="preserve">Milojevich &amp; Wolfe (2020)</w:t>
            </w:r>
          </w:p>
          <w:p w:rsidR="00000000" w:rsidDel="00000000" w:rsidP="00000000" w:rsidRDefault="00000000" w:rsidRPr="00000000" w14:paraId="00000177">
            <w:pPr>
              <w:widowControl w:val="1"/>
              <w:pBdr>
                <w:top w:space="0" w:sz="0" w:val="nil"/>
                <w:left w:space="0" w:sz="0" w:val="nil"/>
                <w:bottom w:space="0" w:sz="0" w:val="nil"/>
                <w:right w:space="0" w:sz="0" w:val="nil"/>
                <w:between w:space="0" w:sz="0" w:val="nil"/>
              </w:pBdr>
              <w:rPr>
                <w:color w:val="000000"/>
                <w:sz w:val="22"/>
                <w:szCs w:val="22"/>
              </w:rPr>
            </w:pPr>
            <w:r w:rsidDel="00000000" w:rsidR="00000000" w:rsidRPr="00000000">
              <w:rPr>
                <w:color w:val="000000"/>
                <w:sz w:val="22"/>
                <w:szCs w:val="22"/>
                <w:rtl w:val="0"/>
              </w:rPr>
              <w:t xml:space="preserve">Immigrants</w:t>
            </w:r>
          </w:p>
          <w:p w:rsidR="00000000" w:rsidDel="00000000" w:rsidP="00000000" w:rsidRDefault="00000000" w:rsidRPr="00000000" w14:paraId="00000178">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r w:rsidDel="00000000" w:rsidR="00000000" w:rsidRPr="00000000">
              <w:rPr>
                <w:color w:val="000000"/>
                <w:sz w:val="22"/>
                <w:szCs w:val="22"/>
                <w:rtl w:val="0"/>
              </w:rPr>
              <w:t xml:space="preserve">Lee &amp; Neese (2020)</w:t>
            </w:r>
          </w:p>
          <w:p w:rsidR="00000000" w:rsidDel="00000000" w:rsidP="00000000" w:rsidRDefault="00000000" w:rsidRPr="00000000" w14:paraId="00000179">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r w:rsidDel="00000000" w:rsidR="00000000" w:rsidRPr="00000000">
              <w:rPr>
                <w:color w:val="000000"/>
                <w:sz w:val="22"/>
                <w:szCs w:val="22"/>
                <w:rtl w:val="0"/>
              </w:rPr>
              <w:t xml:space="preserve">Sue et al.(2019)</w:t>
            </w:r>
          </w:p>
        </w:tc>
        <w:tc>
          <w:tcPr/>
          <w:p w:rsidR="00000000" w:rsidDel="00000000" w:rsidP="00000000" w:rsidRDefault="00000000" w:rsidRPr="00000000" w14:paraId="0000017A">
            <w:pPr>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7B">
            <w:pPr>
              <w:jc w:val="center"/>
              <w:rPr>
                <w:sz w:val="22"/>
                <w:szCs w:val="22"/>
              </w:rPr>
            </w:pPr>
            <w:r w:rsidDel="00000000" w:rsidR="00000000" w:rsidRPr="00000000">
              <w:rPr>
                <w:sz w:val="22"/>
                <w:szCs w:val="22"/>
                <w:rtl w:val="0"/>
              </w:rPr>
              <w:t xml:space="preserve">8</w:t>
            </w:r>
          </w:p>
        </w:tc>
        <w:tc>
          <w:tcPr/>
          <w:p w:rsidR="00000000" w:rsidDel="00000000" w:rsidP="00000000" w:rsidRDefault="00000000" w:rsidRPr="00000000" w14:paraId="0000017C">
            <w:pPr>
              <w:jc w:val="center"/>
              <w:rPr>
                <w:sz w:val="22"/>
                <w:szCs w:val="22"/>
              </w:rPr>
            </w:pPr>
            <w:r w:rsidDel="00000000" w:rsidR="00000000" w:rsidRPr="00000000">
              <w:rPr>
                <w:sz w:val="22"/>
                <w:szCs w:val="22"/>
                <w:rtl w:val="0"/>
              </w:rPr>
              <w:t xml:space="preserve">7/1</w:t>
            </w:r>
          </w:p>
        </w:tc>
        <w:tc>
          <w:tcPr/>
          <w:p w:rsidR="00000000" w:rsidDel="00000000" w:rsidP="00000000" w:rsidRDefault="00000000" w:rsidRPr="00000000" w14:paraId="0000017D">
            <w:pPr>
              <w:rPr>
                <w:sz w:val="22"/>
                <w:szCs w:val="22"/>
              </w:rPr>
            </w:pPr>
            <w:r w:rsidDel="00000000" w:rsidR="00000000" w:rsidRPr="00000000">
              <w:rPr>
                <w:sz w:val="22"/>
                <w:szCs w:val="22"/>
                <w:highlight w:val="yellow"/>
                <w:rtl w:val="0"/>
              </w:rPr>
              <w:t xml:space="preserve">AM</w:t>
            </w:r>
            <w:r w:rsidDel="00000000" w:rsidR="00000000" w:rsidRPr="00000000">
              <w:rPr>
                <w:sz w:val="22"/>
                <w:szCs w:val="22"/>
                <w:rtl w:val="0"/>
              </w:rPr>
              <w:t xml:space="preserve"> - Ax &amp; Tx considerations in working with the elderly </w:t>
            </w:r>
          </w:p>
          <w:p w:rsidR="00000000" w:rsidDel="00000000" w:rsidP="00000000" w:rsidRDefault="00000000" w:rsidRPr="00000000" w14:paraId="0000017E">
            <w:pPr>
              <w:rPr>
                <w:sz w:val="22"/>
                <w:szCs w:val="22"/>
              </w:rPr>
            </w:pPr>
            <w:r w:rsidDel="00000000" w:rsidR="00000000" w:rsidRPr="00000000">
              <w:rPr>
                <w:rtl w:val="0"/>
              </w:rPr>
            </w:r>
          </w:p>
          <w:p w:rsidR="00000000" w:rsidDel="00000000" w:rsidP="00000000" w:rsidRDefault="00000000" w:rsidRPr="00000000" w14:paraId="0000017F">
            <w:pPr>
              <w:rPr>
                <w:sz w:val="22"/>
                <w:szCs w:val="22"/>
              </w:rPr>
            </w:pPr>
            <w:r w:rsidDel="00000000" w:rsidR="00000000" w:rsidRPr="00000000">
              <w:rPr>
                <w:rtl w:val="0"/>
              </w:rPr>
            </w:r>
          </w:p>
          <w:p w:rsidR="00000000" w:rsidDel="00000000" w:rsidP="00000000" w:rsidRDefault="00000000" w:rsidRPr="00000000" w14:paraId="00000180">
            <w:pPr>
              <w:rPr>
                <w:sz w:val="22"/>
                <w:szCs w:val="22"/>
              </w:rPr>
            </w:pPr>
            <w:r w:rsidDel="00000000" w:rsidR="00000000" w:rsidRPr="00000000">
              <w:rPr>
                <w:sz w:val="22"/>
                <w:szCs w:val="22"/>
                <w:highlight w:val="green"/>
                <w:rtl w:val="0"/>
              </w:rPr>
              <w:t xml:space="preserve">PM</w:t>
            </w:r>
            <w:r w:rsidDel="00000000" w:rsidR="00000000" w:rsidRPr="00000000">
              <w:rPr>
                <w:sz w:val="22"/>
                <w:szCs w:val="22"/>
                <w:rtl w:val="0"/>
              </w:rPr>
              <w:t xml:space="preserve"> - Ax &amp; Tx considerations with LGBTQ; cultural competence with LGBTQ; (possible guest speaker)</w:t>
            </w:r>
          </w:p>
        </w:tc>
        <w:tc>
          <w:tcPr/>
          <w:p w:rsidR="00000000" w:rsidDel="00000000" w:rsidP="00000000" w:rsidRDefault="00000000" w:rsidRPr="00000000" w14:paraId="00000181">
            <w:pPr>
              <w:rPr>
                <w:sz w:val="22"/>
                <w:szCs w:val="22"/>
              </w:rPr>
            </w:pPr>
            <w:r w:rsidDel="00000000" w:rsidR="00000000" w:rsidRPr="00000000">
              <w:rPr>
                <w:sz w:val="22"/>
                <w:szCs w:val="22"/>
                <w:rtl w:val="0"/>
              </w:rPr>
              <w:t xml:space="preserve">Elderly</w:t>
            </w:r>
          </w:p>
          <w:p w:rsidR="00000000" w:rsidDel="00000000" w:rsidP="00000000" w:rsidRDefault="00000000" w:rsidRPr="00000000" w14:paraId="00000182">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r w:rsidDel="00000000" w:rsidR="00000000" w:rsidRPr="00000000">
              <w:rPr>
                <w:color w:val="000000"/>
                <w:sz w:val="22"/>
                <w:szCs w:val="22"/>
                <w:rtl w:val="0"/>
              </w:rPr>
              <w:t xml:space="preserve">Ramaprasad, et al.(2015)</w:t>
            </w:r>
          </w:p>
          <w:p w:rsidR="00000000" w:rsidDel="00000000" w:rsidP="00000000" w:rsidRDefault="00000000" w:rsidRPr="00000000" w14:paraId="00000183">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r w:rsidDel="00000000" w:rsidR="00000000" w:rsidRPr="00000000">
              <w:rPr>
                <w:color w:val="000000"/>
                <w:sz w:val="22"/>
                <w:szCs w:val="22"/>
                <w:rtl w:val="0"/>
              </w:rPr>
              <w:t xml:space="preserve">Sheehan (2012)</w:t>
            </w:r>
          </w:p>
          <w:p w:rsidR="00000000" w:rsidDel="00000000" w:rsidP="00000000" w:rsidRDefault="00000000" w:rsidRPr="00000000" w14:paraId="00000184">
            <w:pPr>
              <w:widowControl w:val="1"/>
              <w:numPr>
                <w:ilvl w:val="0"/>
                <w:numId w:val="2"/>
              </w:numPr>
              <w:pBdr>
                <w:top w:space="0" w:sz="0" w:val="nil"/>
                <w:left w:space="0" w:sz="0" w:val="nil"/>
                <w:bottom w:space="0" w:sz="0" w:val="nil"/>
                <w:right w:space="0" w:sz="0" w:val="nil"/>
                <w:between w:space="0" w:sz="0" w:val="nil"/>
              </w:pBdr>
              <w:ind w:left="50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Sue, et al.(2019)</w:t>
            </w:r>
          </w:p>
          <w:p w:rsidR="00000000" w:rsidDel="00000000" w:rsidP="00000000" w:rsidRDefault="00000000" w:rsidRPr="00000000" w14:paraId="00000185">
            <w:pPr>
              <w:rPr>
                <w:sz w:val="22"/>
                <w:szCs w:val="22"/>
              </w:rPr>
            </w:pPr>
            <w:r w:rsidDel="00000000" w:rsidR="00000000" w:rsidRPr="00000000">
              <w:rPr>
                <w:sz w:val="22"/>
                <w:szCs w:val="22"/>
                <w:rtl w:val="0"/>
              </w:rPr>
              <w:t xml:space="preserve">LGBTQ</w:t>
            </w:r>
          </w:p>
          <w:p w:rsidR="00000000" w:rsidDel="00000000" w:rsidP="00000000" w:rsidRDefault="00000000" w:rsidRPr="00000000" w14:paraId="00000186">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r w:rsidDel="00000000" w:rsidR="00000000" w:rsidRPr="00000000">
              <w:rPr>
                <w:color w:val="000000"/>
                <w:sz w:val="22"/>
                <w:szCs w:val="22"/>
                <w:rtl w:val="0"/>
              </w:rPr>
              <w:t xml:space="preserve">Moe et al.(2015)</w:t>
            </w:r>
          </w:p>
          <w:p w:rsidR="00000000" w:rsidDel="00000000" w:rsidP="00000000" w:rsidRDefault="00000000" w:rsidRPr="00000000" w14:paraId="00000187">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r w:rsidDel="00000000" w:rsidR="00000000" w:rsidRPr="00000000">
              <w:rPr>
                <w:color w:val="000000"/>
                <w:sz w:val="22"/>
                <w:szCs w:val="22"/>
                <w:rtl w:val="0"/>
              </w:rPr>
              <w:t xml:space="preserve">Peterson et al.(2017)</w:t>
            </w:r>
          </w:p>
          <w:p w:rsidR="00000000" w:rsidDel="00000000" w:rsidP="00000000" w:rsidRDefault="00000000" w:rsidRPr="00000000" w14:paraId="00000188">
            <w:pPr>
              <w:widowControl w:val="1"/>
              <w:numPr>
                <w:ilvl w:val="0"/>
                <w:numId w:val="2"/>
              </w:numPr>
              <w:pBdr>
                <w:top w:space="0" w:sz="0" w:val="nil"/>
                <w:left w:space="0" w:sz="0" w:val="nil"/>
                <w:bottom w:space="0" w:sz="0" w:val="nil"/>
                <w:right w:space="0" w:sz="0" w:val="nil"/>
                <w:between w:space="0" w:sz="0" w:val="nil"/>
              </w:pBdr>
              <w:ind w:left="500" w:hanging="360"/>
              <w:rPr>
                <w:color w:val="000000"/>
                <w:sz w:val="22"/>
                <w:szCs w:val="22"/>
              </w:rPr>
            </w:pPr>
            <w:r w:rsidDel="00000000" w:rsidR="00000000" w:rsidRPr="00000000">
              <w:rPr>
                <w:color w:val="000000"/>
                <w:sz w:val="22"/>
                <w:szCs w:val="22"/>
                <w:rtl w:val="0"/>
              </w:rPr>
              <w:t xml:space="preserve">Russell &amp; Fish (2016)</w:t>
            </w:r>
          </w:p>
          <w:p w:rsidR="00000000" w:rsidDel="00000000" w:rsidP="00000000" w:rsidRDefault="00000000" w:rsidRPr="00000000" w14:paraId="00000189">
            <w:pPr>
              <w:widowControl w:val="1"/>
              <w:numPr>
                <w:ilvl w:val="0"/>
                <w:numId w:val="2"/>
              </w:numPr>
              <w:pBdr>
                <w:top w:space="0" w:sz="0" w:val="nil"/>
                <w:left w:space="0" w:sz="0" w:val="nil"/>
                <w:bottom w:space="0" w:sz="0" w:val="nil"/>
                <w:right w:space="0" w:sz="0" w:val="nil"/>
                <w:between w:space="0" w:sz="0" w:val="nil"/>
              </w:pBdr>
              <w:ind w:left="500" w:hanging="360"/>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Sue et al.(2019)</w:t>
            </w:r>
          </w:p>
        </w:tc>
        <w:tc>
          <w:tcPr/>
          <w:p w:rsidR="00000000" w:rsidDel="00000000" w:rsidP="00000000" w:rsidRDefault="00000000" w:rsidRPr="00000000" w14:paraId="0000018A">
            <w:pPr>
              <w:rPr>
                <w:b w:val="1"/>
                <w:bCs w:val="1"/>
                <w:sz w:val="22"/>
                <w:szCs w:val="22"/>
              </w:rPr>
            </w:pPr>
            <w:r w:rsidDel="00000000" w:rsidR="00000000" w:rsidRPr="00000000">
              <w:rPr>
                <w:b w:val="1"/>
                <w:bCs w:val="1"/>
                <w:sz w:val="22"/>
                <w:szCs w:val="22"/>
                <w:rtl w:val="0"/>
              </w:rPr>
              <w:t xml:space="preserve">Final Papers due (submit through CANVAS)</w:t>
            </w:r>
          </w:p>
        </w:tc>
      </w:tr>
    </w:tbl>
    <w:p w:rsidR="00000000" w:rsidDel="00000000" w:rsidP="00000000" w:rsidRDefault="00000000" w:rsidRPr="00000000" w14:paraId="0000018B">
      <w:pPr>
        <w:widowControl w:val="0"/>
        <w:ind w:left="720" w:hanging="720"/>
        <w:rPr>
          <w:rFonts w:ascii="Calibri" w:cs="Calibri" w:eastAsia="Calibri" w:hAnsi="Calibri"/>
          <w:i w:val="1"/>
          <w:iCs w:val="1"/>
          <w:sz w:val="20"/>
          <w:szCs w:val="20"/>
        </w:rPr>
      </w:pPr>
      <w:r w:rsidDel="00000000" w:rsidR="00000000" w:rsidRPr="00000000">
        <w:rPr>
          <w:rtl w:val="0"/>
        </w:rPr>
      </w:r>
    </w:p>
    <w:p w:rsidR="00000000" w:rsidDel="00000000" w:rsidP="00000000" w:rsidRDefault="00000000" w:rsidRPr="00000000" w14:paraId="0000018C">
      <w:pPr>
        <w:widowControl w:val="0"/>
        <w:ind w:left="720" w:hanging="72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 THANKS FOR YOUR INTEREST IN SPECIAL POPULATIONS, ENJOY THE BREAK!!! ~</w:t>
      </w:r>
    </w:p>
    <w:p w:rsidR="00000000" w:rsidDel="00000000" w:rsidP="00000000" w:rsidRDefault="00000000" w:rsidRPr="00000000" w14:paraId="0000018D">
      <w:pPr>
        <w:widowControl w:val="0"/>
        <w:ind w:left="720" w:hanging="720"/>
        <w:rPr>
          <w:rFonts w:ascii="Calibri" w:cs="Calibri" w:eastAsia="Calibri" w:hAnsi="Calibri"/>
          <w:i w:val="1"/>
          <w:iCs w:val="1"/>
          <w:sz w:val="20"/>
          <w:szCs w:val="20"/>
        </w:rPr>
      </w:pPr>
      <w:r w:rsidDel="00000000" w:rsidR="00000000" w:rsidRPr="00000000">
        <w:rPr>
          <w:rtl w:val="0"/>
        </w:rPr>
      </w:r>
    </w:p>
    <w:p w:rsidR="00000000" w:rsidDel="00000000" w:rsidP="00000000" w:rsidRDefault="00000000" w:rsidRPr="00000000" w14:paraId="0000018E">
      <w:pPr>
        <w:rPr>
          <w:rFonts w:ascii="Calibri" w:cs="Calibri" w:eastAsia="Calibri" w:hAnsi="Calibri"/>
          <w:i w:val="1"/>
          <w:iCs w:val="1"/>
          <w:sz w:val="20"/>
          <w:szCs w:val="20"/>
        </w:rPr>
      </w:pPr>
      <w:r w:rsidDel="00000000" w:rsidR="00000000" w:rsidRPr="00000000">
        <w:rPr>
          <w:rtl w:val="0"/>
        </w:rPr>
      </w:r>
    </w:p>
    <w:sectPr>
      <w:headerReference r:id="rId34" w:type="default"/>
      <w:headerReference r:id="rId35" w:type="first"/>
      <w:headerReference r:id="rId36" w:type="even"/>
      <w:footerReference r:id="rId37" w:type="default"/>
      <w:footerReference r:id="rId38" w:type="first"/>
      <w:footerReference r:id="rId39" w:type="even"/>
      <w:pgSz w:h="15840" w:w="12240" w:orient="portrait"/>
      <w:pgMar w:bottom="720" w:top="720"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2">
    <w:pPr>
      <w:pBdr>
        <w:top w:space="0" w:sz="0" w:val="nil"/>
        <w:left w:space="0" w:sz="0" w:val="nil"/>
        <w:bottom w:space="0" w:sz="0" w:val="nil"/>
        <w:right w:space="0" w:sz="0" w:val="nil"/>
        <w:between w:space="0" w:sz="0" w:val="nil"/>
      </w:pBdr>
      <w:tabs>
        <w:tab w:val="center" w:leader="none" w:pos="4680"/>
        <w:tab w:val="right" w:leader="none" w:pos="9360"/>
      </w:tabs>
      <w:rPr>
        <w:rFonts w:ascii="Arial" w:cs="Arial" w:eastAsia="Arial" w:hAnsi="Arial"/>
        <w:color w:val="000000"/>
        <w:sz w:val="22"/>
        <w:szCs w:val="22"/>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3">
    <w:pPr>
      <w:pBdr>
        <w:top w:space="0" w:sz="0" w:val="nil"/>
        <w:left w:space="0" w:sz="0" w:val="nil"/>
        <w:bottom w:space="0" w:sz="0" w:val="nil"/>
        <w:right w:space="0" w:sz="0" w:val="nil"/>
        <w:between w:space="0" w:sz="0" w:val="nil"/>
      </w:pBdr>
      <w:tabs>
        <w:tab w:val="center" w:leader="none" w:pos="4680"/>
        <w:tab w:val="right" w:leader="none" w:pos="9360"/>
      </w:tabs>
      <w:rPr>
        <w:rFonts w:ascii="Arial" w:cs="Arial" w:eastAsia="Arial" w:hAnsi="Arial"/>
        <w:color w:val="000000"/>
        <w:sz w:val="22"/>
        <w:szCs w:val="22"/>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4">
    <w:pPr>
      <w:pBdr>
        <w:top w:space="0" w:sz="0" w:val="nil"/>
        <w:left w:space="0" w:sz="0" w:val="nil"/>
        <w:bottom w:space="0" w:sz="0" w:val="nil"/>
        <w:right w:space="0" w:sz="0" w:val="nil"/>
        <w:between w:space="0" w:sz="0" w:val="nil"/>
      </w:pBdr>
      <w:tabs>
        <w:tab w:val="center" w:leader="none" w:pos="4680"/>
        <w:tab w:val="right" w:leader="none" w:pos="9360"/>
      </w:tabs>
      <w:rPr>
        <w:rFonts w:ascii="Arial" w:cs="Arial" w:eastAsia="Arial" w:hAnsi="Arial"/>
        <w:color w:val="000000"/>
        <w:sz w:val="22"/>
        <w:szCs w:val="22"/>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F">
    <w:pPr>
      <w:pBdr>
        <w:top w:space="0" w:sz="0" w:val="nil"/>
        <w:left w:space="0" w:sz="0" w:val="nil"/>
        <w:bottom w:space="0" w:sz="0" w:val="nil"/>
        <w:right w:space="0" w:sz="0" w:val="nil"/>
        <w:between w:space="0" w:sz="0" w:val="nil"/>
      </w:pBdr>
      <w:tabs>
        <w:tab w:val="center" w:leader="none" w:pos="4320"/>
        <w:tab w:val="right" w:leader="none" w:pos="8640"/>
      </w:tabs>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0">
    <w:pPr>
      <w:pBdr>
        <w:top w:space="0" w:sz="0" w:val="nil"/>
        <w:left w:space="0" w:sz="0" w:val="nil"/>
        <w:bottom w:space="0" w:sz="0" w:val="nil"/>
        <w:right w:space="0" w:sz="0" w:val="nil"/>
        <w:between w:space="0" w:sz="0" w:val="nil"/>
      </w:pBdr>
      <w:tabs>
        <w:tab w:val="center" w:leader="none" w:pos="4320"/>
        <w:tab w:val="right" w:leader="none" w:pos="8640"/>
      </w:tabs>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1">
    <w:pPr>
      <w:pBdr>
        <w:top w:space="0" w:sz="0" w:val="nil"/>
        <w:left w:space="0" w:sz="0" w:val="nil"/>
        <w:bottom w:space="0" w:sz="0" w:val="nil"/>
        <w:right w:space="0" w:sz="0" w:val="nil"/>
        <w:between w:space="0" w:sz="0" w:val="nil"/>
      </w:pBdr>
      <w:tabs>
        <w:tab w:val="center" w:leader="none" w:pos="4320"/>
        <w:tab w:val="right" w:leader="none" w:pos="8640"/>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0"/>
      <w:numFmt w:val="bullet"/>
      <w:lvlText w:val="-"/>
      <w:lvlJc w:val="left"/>
      <w:pPr>
        <w:ind w:left="500" w:hanging="360"/>
      </w:pPr>
      <w:rPr>
        <w:rFonts w:ascii="Calibri" w:cs="Calibri" w:eastAsia="Calibri" w:hAnsi="Calibri"/>
      </w:rPr>
    </w:lvl>
    <w:lvl w:ilvl="1">
      <w:start w:val="1"/>
      <w:numFmt w:val="bullet"/>
      <w:lvlText w:val="o"/>
      <w:lvlJc w:val="left"/>
      <w:pPr>
        <w:ind w:left="1220" w:hanging="360"/>
      </w:pPr>
      <w:rPr>
        <w:rFonts w:ascii="Courier New" w:cs="Courier New" w:eastAsia="Courier New" w:hAnsi="Courier New"/>
      </w:rPr>
    </w:lvl>
    <w:lvl w:ilvl="2">
      <w:start w:val="1"/>
      <w:numFmt w:val="bullet"/>
      <w:lvlText w:val="▪"/>
      <w:lvlJc w:val="left"/>
      <w:pPr>
        <w:ind w:left="1940" w:hanging="360"/>
      </w:pPr>
      <w:rPr>
        <w:rFonts w:ascii="Noto Sans Symbols" w:cs="Noto Sans Symbols" w:eastAsia="Noto Sans Symbols" w:hAnsi="Noto Sans Symbols"/>
      </w:rPr>
    </w:lvl>
    <w:lvl w:ilvl="3">
      <w:start w:val="1"/>
      <w:numFmt w:val="bullet"/>
      <w:lvlText w:val="●"/>
      <w:lvlJc w:val="left"/>
      <w:pPr>
        <w:ind w:left="2660" w:hanging="360"/>
      </w:pPr>
      <w:rPr>
        <w:rFonts w:ascii="Noto Sans Symbols" w:cs="Noto Sans Symbols" w:eastAsia="Noto Sans Symbols" w:hAnsi="Noto Sans Symbols"/>
      </w:rPr>
    </w:lvl>
    <w:lvl w:ilvl="4">
      <w:start w:val="1"/>
      <w:numFmt w:val="bullet"/>
      <w:lvlText w:val="o"/>
      <w:lvlJc w:val="left"/>
      <w:pPr>
        <w:ind w:left="3380" w:hanging="360"/>
      </w:pPr>
      <w:rPr>
        <w:rFonts w:ascii="Courier New" w:cs="Courier New" w:eastAsia="Courier New" w:hAnsi="Courier New"/>
      </w:rPr>
    </w:lvl>
    <w:lvl w:ilvl="5">
      <w:start w:val="1"/>
      <w:numFmt w:val="bullet"/>
      <w:lvlText w:val="▪"/>
      <w:lvlJc w:val="left"/>
      <w:pPr>
        <w:ind w:left="4100" w:hanging="360"/>
      </w:pPr>
      <w:rPr>
        <w:rFonts w:ascii="Noto Sans Symbols" w:cs="Noto Sans Symbols" w:eastAsia="Noto Sans Symbols" w:hAnsi="Noto Sans Symbols"/>
      </w:rPr>
    </w:lvl>
    <w:lvl w:ilvl="6">
      <w:start w:val="1"/>
      <w:numFmt w:val="bullet"/>
      <w:lvlText w:val="●"/>
      <w:lvlJc w:val="left"/>
      <w:pPr>
        <w:ind w:left="4820" w:hanging="360"/>
      </w:pPr>
      <w:rPr>
        <w:rFonts w:ascii="Noto Sans Symbols" w:cs="Noto Sans Symbols" w:eastAsia="Noto Sans Symbols" w:hAnsi="Noto Sans Symbols"/>
      </w:rPr>
    </w:lvl>
    <w:lvl w:ilvl="7">
      <w:start w:val="1"/>
      <w:numFmt w:val="bullet"/>
      <w:lvlText w:val="o"/>
      <w:lvlJc w:val="left"/>
      <w:pPr>
        <w:ind w:left="5540" w:hanging="360"/>
      </w:pPr>
      <w:rPr>
        <w:rFonts w:ascii="Courier New" w:cs="Courier New" w:eastAsia="Courier New" w:hAnsi="Courier New"/>
      </w:rPr>
    </w:lvl>
    <w:lvl w:ilvl="8">
      <w:start w:val="1"/>
      <w:numFmt w:val="bullet"/>
      <w:lvlText w:val="▪"/>
      <w:lvlJc w:val="left"/>
      <w:pPr>
        <w:ind w:left="626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276" w:lineRule="auto"/>
    </w:pPr>
    <w:rPr>
      <w:rFonts w:ascii="Arial" w:cs="Arial" w:eastAsia="Arial" w:hAnsi="Arial"/>
      <w:sz w:val="40"/>
      <w:szCs w:val="40"/>
    </w:rPr>
  </w:style>
  <w:style w:type="paragraph" w:styleId="Heading2">
    <w:name w:val="heading 2"/>
    <w:basedOn w:val="Normal"/>
    <w:next w:val="Normal"/>
    <w:pPr>
      <w:keepNext w:val="1"/>
      <w:keepLines w:val="1"/>
      <w:spacing w:after="120" w:before="360" w:line="276" w:lineRule="auto"/>
    </w:pPr>
    <w:rPr>
      <w:rFonts w:ascii="Arial" w:cs="Arial" w:eastAsia="Arial" w:hAnsi="Arial"/>
      <w:sz w:val="32"/>
      <w:szCs w:val="32"/>
    </w:rPr>
  </w:style>
  <w:style w:type="paragraph" w:styleId="Heading3">
    <w:name w:val="heading 3"/>
    <w:basedOn w:val="Normal"/>
    <w:next w:val="Normal"/>
    <w:pPr>
      <w:keepNext w:val="1"/>
      <w:keepLines w:val="1"/>
      <w:spacing w:after="80" w:before="320" w:lineRule="auto"/>
    </w:pPr>
    <w:rPr>
      <w:rFonts w:ascii="Calibri" w:cs="Calibri" w:eastAsia="Calibri" w:hAnsi="Calibri"/>
      <w:b w:val="1"/>
      <w:bCs w:val="1"/>
      <w:color w:val="434343"/>
      <w:sz w:val="23"/>
      <w:szCs w:val="23"/>
    </w:rPr>
  </w:style>
  <w:style w:type="paragraph" w:styleId="Heading4">
    <w:name w:val="heading 4"/>
    <w:basedOn w:val="Normal"/>
    <w:next w:val="Normal"/>
    <w:pPr>
      <w:keepNext w:val="1"/>
      <w:keepLines w:val="1"/>
      <w:spacing w:after="80" w:before="280" w:line="276" w:lineRule="auto"/>
    </w:pPr>
    <w:rPr>
      <w:rFonts w:ascii="Calibri" w:cs="Calibri" w:eastAsia="Calibri" w:hAnsi="Calibri"/>
      <w:b w:val="1"/>
      <w:bCs w:val="1"/>
      <w:color w:val="666666"/>
      <w:sz w:val="22"/>
      <w:szCs w:val="22"/>
    </w:rPr>
  </w:style>
  <w:style w:type="paragraph" w:styleId="Heading5">
    <w:name w:val="heading 5"/>
    <w:basedOn w:val="Normal"/>
    <w:next w:val="Normal"/>
    <w:pPr>
      <w:keepNext w:val="1"/>
      <w:keepLines w:val="1"/>
      <w:spacing w:after="80" w:before="240" w:line="276" w:lineRule="auto"/>
    </w:pPr>
    <w:rPr>
      <w:rFonts w:ascii="Arial" w:cs="Arial" w:eastAsia="Arial" w:hAnsi="Arial"/>
      <w:color w:val="666666"/>
      <w:sz w:val="22"/>
      <w:szCs w:val="22"/>
    </w:rPr>
  </w:style>
  <w:style w:type="paragraph" w:styleId="Heading6">
    <w:name w:val="heading 6"/>
    <w:basedOn w:val="Normal"/>
    <w:next w:val="Normal"/>
    <w:pPr>
      <w:keepNext w:val="1"/>
      <w:keepLines w:val="1"/>
      <w:spacing w:after="80" w:before="240" w:line="276" w:lineRule="auto"/>
    </w:pPr>
    <w:rPr>
      <w:rFonts w:ascii="Arial" w:cs="Arial" w:eastAsia="Arial" w:hAnsi="Arial"/>
      <w:i w:val="1"/>
      <w:iCs w:val="1"/>
      <w:color w:val="666666"/>
      <w:sz w:val="22"/>
      <w:szCs w:val="22"/>
    </w:rPr>
  </w:style>
  <w:style w:type="paragraph" w:styleId="Title">
    <w:name w:val="Title"/>
    <w:basedOn w:val="Normal"/>
    <w:next w:val="Normal"/>
    <w:pPr>
      <w:keepNext w:val="1"/>
      <w:keepLines w:val="1"/>
      <w:spacing w:after="60" w:line="276" w:lineRule="auto"/>
    </w:pPr>
    <w:rPr>
      <w:rFonts w:ascii="Arial" w:cs="Arial" w:eastAsia="Arial" w:hAnsi="Arial"/>
      <w:sz w:val="52"/>
      <w:szCs w:val="52"/>
    </w:rPr>
  </w:style>
  <w:style w:type="paragraph" w:styleId="Subtitle">
    <w:name w:val="Subtitle"/>
    <w:basedOn w:val="Normal"/>
    <w:next w:val="Normal"/>
    <w:pPr>
      <w:keepNext w:val="1"/>
      <w:keepLines w:val="1"/>
      <w:spacing w:after="320" w:line="276" w:lineRule="auto"/>
    </w:pPr>
    <w:rPr>
      <w:rFonts w:ascii="Arial" w:cs="Arial" w:eastAsia="Arial" w:hAnsi="Arial"/>
      <w:color w:val="666666"/>
      <w:sz w:val="30"/>
      <w:szCs w:val="30"/>
    </w:rPr>
  </w:style>
  <w:style w:type="table" w:styleId="Table1">
    <w:basedOn w:val="TableNormal"/>
    <w:pPr>
      <w:widowControl w:val="0"/>
    </w:pPr>
    <w:rPr>
      <w:rFonts w:ascii="Calibri" w:cs="Calibri" w:eastAsia="Calibri" w:hAnsi="Calibri"/>
    </w:rPr>
    <w:tblPr>
      <w:tblStyleRowBandSize w:val="1"/>
      <w:tblStyleColBandSize w:val="1"/>
      <w:tblCellMar>
        <w:top w:w="100.0" w:type="dxa"/>
        <w:left w:w="115.0" w:type="dxa"/>
        <w:bottom w:w="10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widowControl w:val="0"/>
    </w:pPr>
    <w:rPr>
      <w:rFonts w:ascii="Calibri" w:cs="Calibri" w:eastAsia="Calibri" w:hAnsi="Calibri"/>
    </w:rPr>
    <w:tblPr>
      <w:tblStyleRowBandSize w:val="1"/>
      <w:tblStyleColBandSize w:val="1"/>
      <w:tblCellMar>
        <w:top w:w="100.0" w:type="dxa"/>
        <w:left w:w="115.0" w:type="dxa"/>
        <w:bottom w:w="10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apa.org/about/policy/psychological-practice-girls-women.pdf" TargetMode="External"/><Relationship Id="rId22" Type="http://schemas.openxmlformats.org/officeDocument/2006/relationships/hyperlink" Target="https://www.apa.org/practice/guidelines/transgender.pdf" TargetMode="External"/><Relationship Id="rId21" Type="http://schemas.openxmlformats.org/officeDocument/2006/relationships/hyperlink" Target="https://www.apa.org/about/policy/boys-men-practice-guidelines.pdf" TargetMode="External"/><Relationship Id="rId24" Type="http://schemas.openxmlformats.org/officeDocument/2006/relationships/hyperlink" Target="https://www.apa.org/practice/guidelines/dementia" TargetMode="External"/><Relationship Id="rId23" Type="http://schemas.openxmlformats.org/officeDocument/2006/relationships/hyperlink" Target="https://www.apa.org/about/policy/multicultural-guidelin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chaminade.edu" TargetMode="External"/><Relationship Id="rId26" Type="http://schemas.openxmlformats.org/officeDocument/2006/relationships/hyperlink" Target="https://www.apa.org/about/policy/guidelines-low-income.pdf" TargetMode="External"/><Relationship Id="rId25" Type="http://schemas.openxmlformats.org/officeDocument/2006/relationships/hyperlink" Target="https://www.apa.org/obesity-guideline" TargetMode="External"/><Relationship Id="rId28" Type="http://schemas.openxmlformats.org/officeDocument/2006/relationships/hyperlink" Target="https://chaminade.edu/compliance/title-ix-nondiscrimination-policies-procedures/" TargetMode="External"/><Relationship Id="rId27" Type="http://schemas.openxmlformats.org/officeDocument/2006/relationships/hyperlink" Target="mailto:ada@chaminade.edu"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apa.org/pi/disability/resources/assessment-disabilities" TargetMode="External"/><Relationship Id="rId7" Type="http://schemas.openxmlformats.org/officeDocument/2006/relationships/image" Target="media/image1.png"/><Relationship Id="rId8" Type="http://schemas.openxmlformats.org/officeDocument/2006/relationships/hyperlink" Target="http://www.chaminade.edu" TargetMode="External"/><Relationship Id="rId31" Type="http://schemas.openxmlformats.org/officeDocument/2006/relationships/hyperlink" Target="https://www.kennedykrieger.org/patient-care/conditions/genetic-metabolic-chromosomal-disorders" TargetMode="External"/><Relationship Id="rId30" Type="http://schemas.openxmlformats.org/officeDocument/2006/relationships/hyperlink" Target="https://www.apa.org/about/policy/special-populations" TargetMode="External"/><Relationship Id="rId11" Type="http://schemas.openxmlformats.org/officeDocument/2006/relationships/hyperlink" Target="https://www.apa.org/pi/disability/resources/assessment-disabilities" TargetMode="External"/><Relationship Id="rId33" Type="http://schemas.openxmlformats.org/officeDocument/2006/relationships/hyperlink" Target="https://www.wpspublish.com/sit-4-slosson-intelligence-test-4th-edition" TargetMode="External"/><Relationship Id="rId10" Type="http://schemas.openxmlformats.org/officeDocument/2006/relationships/hyperlink" Target="https://www.apa.org/about/policy/special-populations" TargetMode="External"/><Relationship Id="rId32" Type="http://schemas.openxmlformats.org/officeDocument/2006/relationships/hyperlink" Target="https://hawaii.zoom.us/j/81477546989" TargetMode="External"/><Relationship Id="rId13" Type="http://schemas.openxmlformats.org/officeDocument/2006/relationships/hyperlink" Target="https://doi.org/10.17226/24915" TargetMode="External"/><Relationship Id="rId35" Type="http://schemas.openxmlformats.org/officeDocument/2006/relationships/header" Target="header2.xml"/><Relationship Id="rId12" Type="http://schemas.openxmlformats.org/officeDocument/2006/relationships/hyperlink" Target="https://www.kennedykrieger.org/patient-care/conditions/genetic-metabolic-chromosomal-disorders" TargetMode="External"/><Relationship Id="rId34" Type="http://schemas.openxmlformats.org/officeDocument/2006/relationships/header" Target="header1.xml"/><Relationship Id="rId15" Type="http://schemas.openxmlformats.org/officeDocument/2006/relationships/hyperlink" Target="https://www.apa.org/pi/oema/resources/policy/provider-guidelines" TargetMode="External"/><Relationship Id="rId37" Type="http://schemas.openxmlformats.org/officeDocument/2006/relationships/footer" Target="footer1.xml"/><Relationship Id="rId14" Type="http://schemas.openxmlformats.org/officeDocument/2006/relationships/hyperlink" Target="https://www.apa.org/pi/disability/resources/assessment-disabilities" TargetMode="External"/><Relationship Id="rId36" Type="http://schemas.openxmlformats.org/officeDocument/2006/relationships/header" Target="header3.xml"/><Relationship Id="rId17" Type="http://schemas.openxmlformats.org/officeDocument/2006/relationships/hyperlink" Target="https://www.apa.org/ptsd-guideline" TargetMode="External"/><Relationship Id="rId39" Type="http://schemas.openxmlformats.org/officeDocument/2006/relationships/footer" Target="footer3.xml"/><Relationship Id="rId16" Type="http://schemas.openxmlformats.org/officeDocument/2006/relationships/hyperlink" Target="https://www.apadivisions.org/division-18/sections/veterans/smvp-practice-guidelines.pdf" TargetMode="External"/><Relationship Id="rId38" Type="http://schemas.openxmlformats.org/officeDocument/2006/relationships/footer" Target="footer2.xml"/><Relationship Id="rId19" Type="http://schemas.openxmlformats.org/officeDocument/2006/relationships/hyperlink" Target="https://www.apa.org/practice/guidelines/older-adults" TargetMode="External"/><Relationship Id="rId18" Type="http://schemas.openxmlformats.org/officeDocument/2006/relationships/hyperlink" Target="https://www.apa.org/pi/lgbt/resources/guidelin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yINoc8ayXtSUuT4bvMyJYJ1dig==">CgMxLjAyCGguZ2pkZ3hzMgloLjFmb2I5dGUyCWguM3pueXNoNzIJaC4yZXQ5MnAwMgloLjMwajB6bGwyCWguM2R5NnZrbTINaC5mbXp3eXR5cXFoczIJaC4xdDNoNXNmMgloLjI2aW4xcmcyCWguNGQzNG9nODIJaC4yczhleW8xMgloLjE3ZHA4dnUyCWguM3JkY3JqbjgAciExeXJ2eTJIQXVDVkYxR2dyQmhMMXZZQU1kZHIzdWViZUk=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