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F80A0" w14:textId="77777777" w:rsidR="00EA1EAE" w:rsidRPr="00EA1EAE" w:rsidRDefault="00EA1EAE" w:rsidP="00EA1EAE">
      <w:pPr>
        <w:shd w:val="clear" w:color="auto" w:fill="FFFFFF"/>
        <w:spacing w:before="180" w:after="180" w:line="240" w:lineRule="auto"/>
        <w:jc w:val="center"/>
        <w:rPr>
          <w:rFonts w:ascii="Lato" w:eastAsia="Times New Roman" w:hAnsi="Lato" w:cs="Times New Roman"/>
          <w:color w:val="2D3B45"/>
          <w:sz w:val="24"/>
          <w:szCs w:val="24"/>
        </w:rPr>
      </w:pPr>
      <w:r w:rsidRPr="00EA1EAE">
        <w:rPr>
          <w:rFonts w:ascii="Lato" w:eastAsia="Times New Roman" w:hAnsi="Lato" w:cs="Times New Roman"/>
          <w:i/>
          <w:iCs/>
          <w:color w:val="2D3B45"/>
          <w:sz w:val="24"/>
          <w:szCs w:val="24"/>
        </w:rPr>
        <w:t>CHAMINADE UNIVERSITY</w:t>
      </w:r>
    </w:p>
    <w:p w14:paraId="43D64953" w14:textId="77777777" w:rsidR="00EA1EAE" w:rsidRPr="00EA1EAE" w:rsidRDefault="00EA1EAE" w:rsidP="00EA1EAE">
      <w:pPr>
        <w:shd w:val="clear" w:color="auto" w:fill="FFFFFF"/>
        <w:spacing w:before="180" w:after="180" w:line="240" w:lineRule="auto"/>
        <w:jc w:val="center"/>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PSY 521: Personality</w:t>
      </w:r>
    </w:p>
    <w:p w14:paraId="0EC7CEC5" w14:textId="77777777" w:rsidR="00EA1EAE" w:rsidRPr="00EA1EAE" w:rsidRDefault="00EA1EAE" w:rsidP="00EA1EAE">
      <w:pPr>
        <w:shd w:val="clear" w:color="auto" w:fill="FFFFFF"/>
        <w:spacing w:before="180" w:after="180" w:line="240" w:lineRule="auto"/>
        <w:jc w:val="center"/>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Spring Term, April 11 through June 20, 2022</w:t>
      </w:r>
    </w:p>
    <w:p w14:paraId="22541856" w14:textId="77777777" w:rsidR="00EA1EAE" w:rsidRPr="00EA1EAE" w:rsidRDefault="00EA1EAE" w:rsidP="00EA1EAE">
      <w:pPr>
        <w:shd w:val="clear" w:color="auto" w:fill="FFFFFF"/>
        <w:spacing w:before="180" w:after="180" w:line="240" w:lineRule="auto"/>
        <w:jc w:val="center"/>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Online</w:t>
      </w:r>
    </w:p>
    <w:tbl>
      <w:tblPr>
        <w:tblW w:w="4900" w:type="pct"/>
        <w:shd w:val="clear" w:color="auto" w:fill="FFFFFF"/>
        <w:tblCellMar>
          <w:top w:w="15" w:type="dxa"/>
          <w:left w:w="15" w:type="dxa"/>
          <w:bottom w:w="15" w:type="dxa"/>
          <w:right w:w="15" w:type="dxa"/>
        </w:tblCellMar>
        <w:tblLook w:val="04A0" w:firstRow="1" w:lastRow="0" w:firstColumn="1" w:lastColumn="0" w:noHBand="0" w:noVBand="1"/>
      </w:tblPr>
      <w:tblGrid>
        <w:gridCol w:w="1177"/>
        <w:gridCol w:w="8119"/>
        <w:gridCol w:w="64"/>
      </w:tblGrid>
      <w:tr w:rsidR="00EA1EAE" w:rsidRPr="00EA1EAE" w14:paraId="333FC5F4" w14:textId="77777777" w:rsidTr="00EA1EAE">
        <w:tc>
          <w:tcPr>
            <w:tcW w:w="4900" w:type="pct"/>
            <w:gridSpan w:val="3"/>
            <w:shd w:val="clear" w:color="auto" w:fill="FFFFFF"/>
            <w:tcMar>
              <w:top w:w="30" w:type="dxa"/>
              <w:left w:w="30" w:type="dxa"/>
              <w:bottom w:w="30" w:type="dxa"/>
              <w:right w:w="30" w:type="dxa"/>
            </w:tcMar>
            <w:vAlign w:val="center"/>
            <w:hideMark/>
          </w:tcPr>
          <w:p w14:paraId="0F365AA3"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Course Information</w:t>
            </w:r>
          </w:p>
        </w:tc>
      </w:tr>
      <w:tr w:rsidR="00EA1EAE" w:rsidRPr="00EA1EAE" w14:paraId="0505837A" w14:textId="77777777" w:rsidTr="00EA1EAE">
        <w:tc>
          <w:tcPr>
            <w:tcW w:w="950" w:type="pct"/>
            <w:shd w:val="clear" w:color="auto" w:fill="FFFFFF"/>
            <w:tcMar>
              <w:top w:w="30" w:type="dxa"/>
              <w:left w:w="30" w:type="dxa"/>
              <w:bottom w:w="30" w:type="dxa"/>
              <w:right w:w="30" w:type="dxa"/>
            </w:tcMar>
            <w:vAlign w:val="center"/>
            <w:hideMark/>
          </w:tcPr>
          <w:p w14:paraId="3099F7F6"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Course title:</w:t>
            </w:r>
          </w:p>
        </w:tc>
        <w:tc>
          <w:tcPr>
            <w:tcW w:w="3850" w:type="pct"/>
            <w:shd w:val="clear" w:color="auto" w:fill="FFFFFF"/>
            <w:tcMar>
              <w:top w:w="30" w:type="dxa"/>
              <w:left w:w="30" w:type="dxa"/>
              <w:bottom w:w="30" w:type="dxa"/>
              <w:right w:w="30" w:type="dxa"/>
            </w:tcMar>
            <w:vAlign w:val="center"/>
            <w:hideMark/>
          </w:tcPr>
          <w:p w14:paraId="1DCA5570"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Personality</w:t>
            </w:r>
          </w:p>
        </w:tc>
        <w:tc>
          <w:tcPr>
            <w:tcW w:w="100" w:type="pct"/>
            <w:shd w:val="clear" w:color="auto" w:fill="FFFFFF"/>
            <w:tcMar>
              <w:top w:w="30" w:type="dxa"/>
              <w:left w:w="30" w:type="dxa"/>
              <w:bottom w:w="30" w:type="dxa"/>
              <w:right w:w="30" w:type="dxa"/>
            </w:tcMar>
            <w:vAlign w:val="center"/>
            <w:hideMark/>
          </w:tcPr>
          <w:p w14:paraId="763C5E95"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07185451" w14:textId="77777777" w:rsidTr="00EA1EAE">
        <w:tc>
          <w:tcPr>
            <w:tcW w:w="950" w:type="pct"/>
            <w:shd w:val="clear" w:color="auto" w:fill="FFFFFF"/>
            <w:tcMar>
              <w:top w:w="30" w:type="dxa"/>
              <w:left w:w="30" w:type="dxa"/>
              <w:bottom w:w="30" w:type="dxa"/>
              <w:right w:w="30" w:type="dxa"/>
            </w:tcMar>
            <w:vAlign w:val="center"/>
            <w:hideMark/>
          </w:tcPr>
          <w:p w14:paraId="3F9190D9"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Course number:</w:t>
            </w:r>
          </w:p>
        </w:tc>
        <w:tc>
          <w:tcPr>
            <w:tcW w:w="3850" w:type="pct"/>
            <w:shd w:val="clear" w:color="auto" w:fill="FFFFFF"/>
            <w:tcMar>
              <w:top w:w="30" w:type="dxa"/>
              <w:left w:w="30" w:type="dxa"/>
              <w:bottom w:w="30" w:type="dxa"/>
              <w:right w:w="30" w:type="dxa"/>
            </w:tcMar>
            <w:vAlign w:val="center"/>
            <w:hideMark/>
          </w:tcPr>
          <w:p w14:paraId="4E6EB125"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PSY521</w:t>
            </w:r>
          </w:p>
        </w:tc>
        <w:tc>
          <w:tcPr>
            <w:tcW w:w="100" w:type="pct"/>
            <w:shd w:val="clear" w:color="auto" w:fill="FFFFFF"/>
            <w:tcMar>
              <w:top w:w="30" w:type="dxa"/>
              <w:left w:w="30" w:type="dxa"/>
              <w:bottom w:w="30" w:type="dxa"/>
              <w:right w:w="30" w:type="dxa"/>
            </w:tcMar>
            <w:vAlign w:val="center"/>
            <w:hideMark/>
          </w:tcPr>
          <w:p w14:paraId="078EA9E4"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6F969C23" w14:textId="77777777" w:rsidTr="00EA1EAE">
        <w:tc>
          <w:tcPr>
            <w:tcW w:w="950" w:type="pct"/>
            <w:shd w:val="clear" w:color="auto" w:fill="FFFFFF"/>
            <w:tcMar>
              <w:top w:w="30" w:type="dxa"/>
              <w:left w:w="30" w:type="dxa"/>
              <w:bottom w:w="30" w:type="dxa"/>
              <w:right w:w="30" w:type="dxa"/>
            </w:tcMar>
            <w:vAlign w:val="center"/>
            <w:hideMark/>
          </w:tcPr>
          <w:p w14:paraId="4B675BA7"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Course discipline:</w:t>
            </w:r>
          </w:p>
        </w:tc>
        <w:tc>
          <w:tcPr>
            <w:tcW w:w="3850" w:type="pct"/>
            <w:shd w:val="clear" w:color="auto" w:fill="FFFFFF"/>
            <w:tcMar>
              <w:top w:w="30" w:type="dxa"/>
              <w:left w:w="30" w:type="dxa"/>
              <w:bottom w:w="30" w:type="dxa"/>
              <w:right w:w="30" w:type="dxa"/>
            </w:tcMar>
            <w:vAlign w:val="center"/>
            <w:hideMark/>
          </w:tcPr>
          <w:p w14:paraId="5733E04C"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Psychology</w:t>
            </w:r>
          </w:p>
        </w:tc>
        <w:tc>
          <w:tcPr>
            <w:tcW w:w="100" w:type="pct"/>
            <w:shd w:val="clear" w:color="auto" w:fill="FFFFFF"/>
            <w:tcMar>
              <w:top w:w="30" w:type="dxa"/>
              <w:left w:w="30" w:type="dxa"/>
              <w:bottom w:w="30" w:type="dxa"/>
              <w:right w:w="30" w:type="dxa"/>
            </w:tcMar>
            <w:vAlign w:val="center"/>
            <w:hideMark/>
          </w:tcPr>
          <w:p w14:paraId="7C309A26"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14823AAA" w14:textId="77777777" w:rsidTr="00EA1EAE">
        <w:tc>
          <w:tcPr>
            <w:tcW w:w="950" w:type="pct"/>
            <w:shd w:val="clear" w:color="auto" w:fill="FFFFFF"/>
            <w:tcMar>
              <w:top w:w="30" w:type="dxa"/>
              <w:left w:w="30" w:type="dxa"/>
              <w:bottom w:w="30" w:type="dxa"/>
              <w:right w:w="30" w:type="dxa"/>
            </w:tcMar>
            <w:vAlign w:val="center"/>
            <w:hideMark/>
          </w:tcPr>
          <w:p w14:paraId="7FF0E020"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Course description:</w:t>
            </w:r>
          </w:p>
        </w:tc>
        <w:tc>
          <w:tcPr>
            <w:tcW w:w="3850" w:type="pct"/>
            <w:shd w:val="clear" w:color="auto" w:fill="FFFFFF"/>
            <w:tcMar>
              <w:top w:w="30" w:type="dxa"/>
              <w:left w:w="30" w:type="dxa"/>
              <w:bottom w:w="30" w:type="dxa"/>
              <w:right w:w="30" w:type="dxa"/>
            </w:tcMar>
            <w:vAlign w:val="center"/>
            <w:hideMark/>
          </w:tcPr>
          <w:p w14:paraId="56D31DBD"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This course provides the study of personality and its theoretical development, including assessment, major theories, history, and continuity and change. The focus is on understanding personality and its relationship to counseling theory and techniques.</w:t>
            </w:r>
          </w:p>
          <w:p w14:paraId="7C28CE13"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Course Description - Students will have an opportunity to explore human personality </w:t>
            </w:r>
            <w:proofErr w:type="gramStart"/>
            <w:r w:rsidRPr="00EA1EAE">
              <w:rPr>
                <w:rFonts w:ascii="Lato" w:eastAsia="Times New Roman" w:hAnsi="Lato" w:cs="Times New Roman"/>
                <w:color w:val="2D3B45"/>
                <w:sz w:val="24"/>
                <w:szCs w:val="24"/>
              </w:rPr>
              <w:t>through the use of</w:t>
            </w:r>
            <w:proofErr w:type="gramEnd"/>
            <w:r w:rsidRPr="00EA1EAE">
              <w:rPr>
                <w:rFonts w:ascii="Lato" w:eastAsia="Times New Roman" w:hAnsi="Lato" w:cs="Times New Roman"/>
                <w:color w:val="2D3B45"/>
                <w:sz w:val="24"/>
                <w:szCs w:val="24"/>
              </w:rPr>
              <w:t xml:space="preserve"> activities, reading and research. Students completing this course should </w:t>
            </w:r>
            <w:proofErr w:type="gramStart"/>
            <w:r w:rsidRPr="00EA1EAE">
              <w:rPr>
                <w:rFonts w:ascii="Lato" w:eastAsia="Times New Roman" w:hAnsi="Lato" w:cs="Times New Roman"/>
                <w:color w:val="2D3B45"/>
                <w:sz w:val="24"/>
                <w:szCs w:val="24"/>
              </w:rPr>
              <w:t>have an understanding of</w:t>
            </w:r>
            <w:proofErr w:type="gramEnd"/>
            <w:r w:rsidRPr="00EA1EAE">
              <w:rPr>
                <w:rFonts w:ascii="Lato" w:eastAsia="Times New Roman" w:hAnsi="Lato" w:cs="Times New Roman"/>
                <w:color w:val="2D3B45"/>
                <w:sz w:val="24"/>
                <w:szCs w:val="24"/>
              </w:rPr>
              <w:t xml:space="preserve"> the major principles and theories from the field of human personality and their application to the field of counseling. They should be able to identify, describe, define, explain, and apply these principles and theories. It is imperative that students keep all syllabi from all courses taken while in the MSCP program to facilitate the application process for licensing, certification, doctorate school application, etc.</w:t>
            </w:r>
          </w:p>
        </w:tc>
        <w:tc>
          <w:tcPr>
            <w:tcW w:w="100" w:type="pct"/>
            <w:shd w:val="clear" w:color="auto" w:fill="FFFFFF"/>
            <w:tcMar>
              <w:top w:w="30" w:type="dxa"/>
              <w:left w:w="30" w:type="dxa"/>
              <w:bottom w:w="30" w:type="dxa"/>
              <w:right w:w="30" w:type="dxa"/>
            </w:tcMar>
            <w:vAlign w:val="center"/>
            <w:hideMark/>
          </w:tcPr>
          <w:p w14:paraId="447696C1"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6A9CA325" w14:textId="77777777" w:rsidTr="00EA1EAE">
        <w:tc>
          <w:tcPr>
            <w:tcW w:w="950" w:type="pct"/>
            <w:shd w:val="clear" w:color="auto" w:fill="FFFFFF"/>
            <w:tcMar>
              <w:top w:w="30" w:type="dxa"/>
              <w:left w:w="30" w:type="dxa"/>
              <w:bottom w:w="30" w:type="dxa"/>
              <w:right w:w="30" w:type="dxa"/>
            </w:tcMar>
            <w:vAlign w:val="center"/>
            <w:hideMark/>
          </w:tcPr>
          <w:p w14:paraId="63114959"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Course date:</w:t>
            </w:r>
          </w:p>
        </w:tc>
        <w:tc>
          <w:tcPr>
            <w:tcW w:w="3850" w:type="pct"/>
            <w:shd w:val="clear" w:color="auto" w:fill="FFFFFF"/>
            <w:tcMar>
              <w:top w:w="30" w:type="dxa"/>
              <w:left w:w="30" w:type="dxa"/>
              <w:bottom w:w="30" w:type="dxa"/>
              <w:right w:w="30" w:type="dxa"/>
            </w:tcMar>
            <w:vAlign w:val="center"/>
            <w:hideMark/>
          </w:tcPr>
          <w:p w14:paraId="2937C103"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Spring Term, April 11 through June 20, 2022</w:t>
            </w:r>
          </w:p>
        </w:tc>
        <w:tc>
          <w:tcPr>
            <w:tcW w:w="100" w:type="pct"/>
            <w:shd w:val="clear" w:color="auto" w:fill="FFFFFF"/>
            <w:tcMar>
              <w:top w:w="30" w:type="dxa"/>
              <w:left w:w="30" w:type="dxa"/>
              <w:bottom w:w="30" w:type="dxa"/>
              <w:right w:w="30" w:type="dxa"/>
            </w:tcMar>
            <w:vAlign w:val="center"/>
            <w:hideMark/>
          </w:tcPr>
          <w:p w14:paraId="5AF45639"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1C2211F3" w14:textId="77777777" w:rsidTr="00EA1EAE">
        <w:tc>
          <w:tcPr>
            <w:tcW w:w="950" w:type="pct"/>
            <w:shd w:val="clear" w:color="auto" w:fill="FFFFFF"/>
            <w:tcMar>
              <w:top w:w="30" w:type="dxa"/>
              <w:left w:w="30" w:type="dxa"/>
              <w:bottom w:w="30" w:type="dxa"/>
              <w:right w:w="30" w:type="dxa"/>
            </w:tcMar>
            <w:vAlign w:val="center"/>
            <w:hideMark/>
          </w:tcPr>
          <w:p w14:paraId="162BA580"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Location:</w:t>
            </w:r>
          </w:p>
        </w:tc>
        <w:tc>
          <w:tcPr>
            <w:tcW w:w="3850" w:type="pct"/>
            <w:shd w:val="clear" w:color="auto" w:fill="FFFFFF"/>
            <w:tcMar>
              <w:top w:w="30" w:type="dxa"/>
              <w:left w:w="30" w:type="dxa"/>
              <w:bottom w:w="30" w:type="dxa"/>
              <w:right w:w="30" w:type="dxa"/>
            </w:tcMar>
            <w:vAlign w:val="center"/>
            <w:hideMark/>
          </w:tcPr>
          <w:p w14:paraId="2378D7EC"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Online/Zoom</w:t>
            </w:r>
          </w:p>
        </w:tc>
        <w:tc>
          <w:tcPr>
            <w:tcW w:w="100" w:type="pct"/>
            <w:shd w:val="clear" w:color="auto" w:fill="FFFFFF"/>
            <w:tcMar>
              <w:top w:w="30" w:type="dxa"/>
              <w:left w:w="30" w:type="dxa"/>
              <w:bottom w:w="30" w:type="dxa"/>
              <w:right w:w="30" w:type="dxa"/>
            </w:tcMar>
            <w:vAlign w:val="center"/>
            <w:hideMark/>
          </w:tcPr>
          <w:p w14:paraId="6E0049F4"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60929D0E" w14:textId="77777777" w:rsidTr="00EA1EAE">
        <w:tc>
          <w:tcPr>
            <w:tcW w:w="950" w:type="pct"/>
            <w:shd w:val="clear" w:color="auto" w:fill="FFFFFF"/>
            <w:tcMar>
              <w:top w:w="30" w:type="dxa"/>
              <w:left w:w="30" w:type="dxa"/>
              <w:bottom w:w="30" w:type="dxa"/>
              <w:right w:w="30" w:type="dxa"/>
            </w:tcMar>
            <w:vAlign w:val="center"/>
            <w:hideMark/>
          </w:tcPr>
          <w:p w14:paraId="621757F0"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Meeting day(s):</w:t>
            </w:r>
          </w:p>
        </w:tc>
        <w:tc>
          <w:tcPr>
            <w:tcW w:w="3850" w:type="pct"/>
            <w:shd w:val="clear" w:color="auto" w:fill="FFFFFF"/>
            <w:tcMar>
              <w:top w:w="30" w:type="dxa"/>
              <w:left w:w="30" w:type="dxa"/>
              <w:bottom w:w="30" w:type="dxa"/>
              <w:right w:w="30" w:type="dxa"/>
            </w:tcMar>
            <w:vAlign w:val="center"/>
            <w:hideMark/>
          </w:tcPr>
          <w:p w14:paraId="34958906"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TBA</w:t>
            </w:r>
          </w:p>
        </w:tc>
        <w:tc>
          <w:tcPr>
            <w:tcW w:w="100" w:type="pct"/>
            <w:shd w:val="clear" w:color="auto" w:fill="FFFFFF"/>
            <w:tcMar>
              <w:top w:w="30" w:type="dxa"/>
              <w:left w:w="30" w:type="dxa"/>
              <w:bottom w:w="30" w:type="dxa"/>
              <w:right w:w="30" w:type="dxa"/>
            </w:tcMar>
            <w:vAlign w:val="center"/>
            <w:hideMark/>
          </w:tcPr>
          <w:p w14:paraId="67B6882A"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7A378071" w14:textId="77777777" w:rsidTr="00EA1EAE">
        <w:tc>
          <w:tcPr>
            <w:tcW w:w="950" w:type="pct"/>
            <w:shd w:val="clear" w:color="auto" w:fill="FFFFFF"/>
            <w:tcMar>
              <w:top w:w="30" w:type="dxa"/>
              <w:left w:w="30" w:type="dxa"/>
              <w:bottom w:w="30" w:type="dxa"/>
              <w:right w:w="30" w:type="dxa"/>
            </w:tcMar>
            <w:vAlign w:val="center"/>
            <w:hideMark/>
          </w:tcPr>
          <w:p w14:paraId="73A00E34"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lastRenderedPageBreak/>
              <w:t>Meeting time(s):</w:t>
            </w:r>
          </w:p>
        </w:tc>
        <w:tc>
          <w:tcPr>
            <w:tcW w:w="3850" w:type="pct"/>
            <w:shd w:val="clear" w:color="auto" w:fill="FFFFFF"/>
            <w:tcMar>
              <w:top w:w="30" w:type="dxa"/>
              <w:left w:w="30" w:type="dxa"/>
              <w:bottom w:w="30" w:type="dxa"/>
              <w:right w:w="30" w:type="dxa"/>
            </w:tcMar>
            <w:vAlign w:val="center"/>
            <w:hideMark/>
          </w:tcPr>
          <w:p w14:paraId="5E4DE536"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TBA</w:t>
            </w:r>
          </w:p>
        </w:tc>
        <w:tc>
          <w:tcPr>
            <w:tcW w:w="100" w:type="pct"/>
            <w:shd w:val="clear" w:color="auto" w:fill="FFFFFF"/>
            <w:tcMar>
              <w:top w:w="30" w:type="dxa"/>
              <w:left w:w="30" w:type="dxa"/>
              <w:bottom w:w="30" w:type="dxa"/>
              <w:right w:w="30" w:type="dxa"/>
            </w:tcMar>
            <w:vAlign w:val="center"/>
            <w:hideMark/>
          </w:tcPr>
          <w:p w14:paraId="6D5F406D"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30EA5C32" w14:textId="77777777" w:rsidTr="00EA1EAE">
        <w:tc>
          <w:tcPr>
            <w:tcW w:w="950" w:type="pct"/>
            <w:shd w:val="clear" w:color="auto" w:fill="FFFFFF"/>
            <w:tcMar>
              <w:top w:w="30" w:type="dxa"/>
              <w:left w:w="30" w:type="dxa"/>
              <w:bottom w:w="30" w:type="dxa"/>
              <w:right w:w="30" w:type="dxa"/>
            </w:tcMar>
            <w:vAlign w:val="center"/>
            <w:hideMark/>
          </w:tcPr>
          <w:p w14:paraId="3E477027"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Prerequisite(s):</w:t>
            </w:r>
          </w:p>
        </w:tc>
        <w:tc>
          <w:tcPr>
            <w:tcW w:w="3850" w:type="pct"/>
            <w:shd w:val="clear" w:color="auto" w:fill="FFFFFF"/>
            <w:tcMar>
              <w:top w:w="30" w:type="dxa"/>
              <w:left w:w="30" w:type="dxa"/>
              <w:bottom w:w="30" w:type="dxa"/>
              <w:right w:w="30" w:type="dxa"/>
            </w:tcMar>
            <w:vAlign w:val="center"/>
            <w:hideMark/>
          </w:tcPr>
          <w:p w14:paraId="55A660CF"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None</w:t>
            </w:r>
          </w:p>
        </w:tc>
        <w:tc>
          <w:tcPr>
            <w:tcW w:w="100" w:type="pct"/>
            <w:shd w:val="clear" w:color="auto" w:fill="FFFFFF"/>
            <w:tcMar>
              <w:top w:w="30" w:type="dxa"/>
              <w:left w:w="30" w:type="dxa"/>
              <w:bottom w:w="30" w:type="dxa"/>
              <w:right w:w="30" w:type="dxa"/>
            </w:tcMar>
            <w:vAlign w:val="center"/>
            <w:hideMark/>
          </w:tcPr>
          <w:p w14:paraId="6ADCBA77"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5F9C643E" w14:textId="77777777" w:rsidTr="00EA1EAE">
        <w:tc>
          <w:tcPr>
            <w:tcW w:w="4900" w:type="pct"/>
            <w:gridSpan w:val="3"/>
            <w:shd w:val="clear" w:color="auto" w:fill="FFFFFF"/>
            <w:tcMar>
              <w:top w:w="30" w:type="dxa"/>
              <w:left w:w="30" w:type="dxa"/>
              <w:bottom w:w="30" w:type="dxa"/>
              <w:right w:w="30" w:type="dxa"/>
            </w:tcMar>
            <w:vAlign w:val="center"/>
            <w:hideMark/>
          </w:tcPr>
          <w:p w14:paraId="29DFB279"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 </w:t>
            </w:r>
          </w:p>
          <w:p w14:paraId="05CE8A4D"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Instructor Information</w:t>
            </w:r>
          </w:p>
        </w:tc>
      </w:tr>
      <w:tr w:rsidR="00EA1EAE" w:rsidRPr="00EA1EAE" w14:paraId="317B5834" w14:textId="77777777" w:rsidTr="00EA1EAE">
        <w:tc>
          <w:tcPr>
            <w:tcW w:w="950" w:type="pct"/>
            <w:shd w:val="clear" w:color="auto" w:fill="FFFFFF"/>
            <w:tcMar>
              <w:top w:w="30" w:type="dxa"/>
              <w:left w:w="30" w:type="dxa"/>
              <w:bottom w:w="30" w:type="dxa"/>
              <w:right w:w="30" w:type="dxa"/>
            </w:tcMar>
            <w:vAlign w:val="center"/>
            <w:hideMark/>
          </w:tcPr>
          <w:p w14:paraId="0DBE882D"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Name:</w:t>
            </w:r>
          </w:p>
        </w:tc>
        <w:tc>
          <w:tcPr>
            <w:tcW w:w="3850" w:type="pct"/>
            <w:shd w:val="clear" w:color="auto" w:fill="FFFFFF"/>
            <w:tcMar>
              <w:top w:w="30" w:type="dxa"/>
              <w:left w:w="30" w:type="dxa"/>
              <w:bottom w:w="30" w:type="dxa"/>
              <w:right w:w="30" w:type="dxa"/>
            </w:tcMar>
            <w:vAlign w:val="center"/>
            <w:hideMark/>
          </w:tcPr>
          <w:p w14:paraId="617ADE2B"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Dale Fryxell, PhD</w:t>
            </w:r>
          </w:p>
        </w:tc>
        <w:tc>
          <w:tcPr>
            <w:tcW w:w="100" w:type="pct"/>
            <w:shd w:val="clear" w:color="auto" w:fill="FFFFFF"/>
            <w:tcMar>
              <w:top w:w="30" w:type="dxa"/>
              <w:left w:w="30" w:type="dxa"/>
              <w:bottom w:w="30" w:type="dxa"/>
              <w:right w:w="30" w:type="dxa"/>
            </w:tcMar>
            <w:vAlign w:val="center"/>
            <w:hideMark/>
          </w:tcPr>
          <w:p w14:paraId="41A9FDD3"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332046D0" w14:textId="77777777" w:rsidTr="00EA1EAE">
        <w:tc>
          <w:tcPr>
            <w:tcW w:w="950" w:type="pct"/>
            <w:shd w:val="clear" w:color="auto" w:fill="FFFFFF"/>
            <w:tcMar>
              <w:top w:w="30" w:type="dxa"/>
              <w:left w:w="30" w:type="dxa"/>
              <w:bottom w:w="30" w:type="dxa"/>
              <w:right w:w="30" w:type="dxa"/>
            </w:tcMar>
            <w:vAlign w:val="center"/>
            <w:hideMark/>
          </w:tcPr>
          <w:p w14:paraId="63F3807B"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Email:</w:t>
            </w:r>
          </w:p>
        </w:tc>
        <w:tc>
          <w:tcPr>
            <w:tcW w:w="3850" w:type="pct"/>
            <w:shd w:val="clear" w:color="auto" w:fill="FFFFFF"/>
            <w:tcMar>
              <w:top w:w="30" w:type="dxa"/>
              <w:left w:w="30" w:type="dxa"/>
              <w:bottom w:w="30" w:type="dxa"/>
              <w:right w:w="30" w:type="dxa"/>
            </w:tcMar>
            <w:vAlign w:val="center"/>
            <w:hideMark/>
          </w:tcPr>
          <w:p w14:paraId="0F94D45D"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dfryxell@chaminade.edu</w:t>
            </w:r>
          </w:p>
        </w:tc>
        <w:tc>
          <w:tcPr>
            <w:tcW w:w="100" w:type="pct"/>
            <w:shd w:val="clear" w:color="auto" w:fill="FFFFFF"/>
            <w:tcMar>
              <w:top w:w="30" w:type="dxa"/>
              <w:left w:w="30" w:type="dxa"/>
              <w:bottom w:w="30" w:type="dxa"/>
              <w:right w:w="30" w:type="dxa"/>
            </w:tcMar>
            <w:vAlign w:val="center"/>
            <w:hideMark/>
          </w:tcPr>
          <w:p w14:paraId="5BA3B9EB"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00B6F59C" w14:textId="77777777" w:rsidTr="00EA1EAE">
        <w:tc>
          <w:tcPr>
            <w:tcW w:w="950" w:type="pct"/>
            <w:shd w:val="clear" w:color="auto" w:fill="FFFFFF"/>
            <w:tcMar>
              <w:top w:w="30" w:type="dxa"/>
              <w:left w:w="30" w:type="dxa"/>
              <w:bottom w:w="30" w:type="dxa"/>
              <w:right w:w="30" w:type="dxa"/>
            </w:tcMar>
            <w:vAlign w:val="center"/>
            <w:hideMark/>
          </w:tcPr>
          <w:p w14:paraId="78495640"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Office location:</w:t>
            </w:r>
          </w:p>
        </w:tc>
        <w:tc>
          <w:tcPr>
            <w:tcW w:w="3850" w:type="pct"/>
            <w:shd w:val="clear" w:color="auto" w:fill="FFFFFF"/>
            <w:tcMar>
              <w:top w:w="30" w:type="dxa"/>
              <w:left w:w="30" w:type="dxa"/>
              <w:bottom w:w="30" w:type="dxa"/>
              <w:right w:w="30" w:type="dxa"/>
            </w:tcMar>
            <w:vAlign w:val="center"/>
            <w:hideMark/>
          </w:tcPr>
          <w:p w14:paraId="307EDA66"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Brogan 110</w:t>
            </w:r>
          </w:p>
        </w:tc>
        <w:tc>
          <w:tcPr>
            <w:tcW w:w="100" w:type="pct"/>
            <w:shd w:val="clear" w:color="auto" w:fill="FFFFFF"/>
            <w:tcMar>
              <w:top w:w="30" w:type="dxa"/>
              <w:left w:w="30" w:type="dxa"/>
              <w:bottom w:w="30" w:type="dxa"/>
              <w:right w:w="30" w:type="dxa"/>
            </w:tcMar>
            <w:vAlign w:val="center"/>
            <w:hideMark/>
          </w:tcPr>
          <w:p w14:paraId="0D8D4C5B"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5060FBDB" w14:textId="77777777" w:rsidTr="00EA1EAE">
        <w:tc>
          <w:tcPr>
            <w:tcW w:w="950" w:type="pct"/>
            <w:shd w:val="clear" w:color="auto" w:fill="FFFFFF"/>
            <w:tcMar>
              <w:top w:w="30" w:type="dxa"/>
              <w:left w:w="30" w:type="dxa"/>
              <w:bottom w:w="30" w:type="dxa"/>
              <w:right w:w="30" w:type="dxa"/>
            </w:tcMar>
            <w:vAlign w:val="center"/>
            <w:hideMark/>
          </w:tcPr>
          <w:p w14:paraId="05F91E25"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Office hours:</w:t>
            </w:r>
          </w:p>
        </w:tc>
        <w:tc>
          <w:tcPr>
            <w:tcW w:w="3850" w:type="pct"/>
            <w:shd w:val="clear" w:color="auto" w:fill="FFFFFF"/>
            <w:tcMar>
              <w:top w:w="30" w:type="dxa"/>
              <w:left w:w="30" w:type="dxa"/>
              <w:bottom w:w="30" w:type="dxa"/>
              <w:right w:w="30" w:type="dxa"/>
            </w:tcMar>
            <w:vAlign w:val="center"/>
            <w:hideMark/>
          </w:tcPr>
          <w:p w14:paraId="410614F5"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By appointment</w:t>
            </w:r>
          </w:p>
        </w:tc>
        <w:tc>
          <w:tcPr>
            <w:tcW w:w="100" w:type="pct"/>
            <w:shd w:val="clear" w:color="auto" w:fill="FFFFFF"/>
            <w:tcMar>
              <w:top w:w="30" w:type="dxa"/>
              <w:left w:w="30" w:type="dxa"/>
              <w:bottom w:w="30" w:type="dxa"/>
              <w:right w:w="30" w:type="dxa"/>
            </w:tcMar>
            <w:vAlign w:val="center"/>
            <w:hideMark/>
          </w:tcPr>
          <w:p w14:paraId="215EE417"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141BAF8F" w14:textId="77777777" w:rsidTr="00EA1EAE">
        <w:tc>
          <w:tcPr>
            <w:tcW w:w="950" w:type="pct"/>
            <w:shd w:val="clear" w:color="auto" w:fill="FFFFFF"/>
            <w:tcMar>
              <w:top w:w="30" w:type="dxa"/>
              <w:left w:w="30" w:type="dxa"/>
              <w:bottom w:w="30" w:type="dxa"/>
              <w:right w:w="30" w:type="dxa"/>
            </w:tcMar>
            <w:vAlign w:val="center"/>
            <w:hideMark/>
          </w:tcPr>
          <w:p w14:paraId="33AACE8F"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Phone:</w:t>
            </w:r>
          </w:p>
        </w:tc>
        <w:tc>
          <w:tcPr>
            <w:tcW w:w="3850" w:type="pct"/>
            <w:shd w:val="clear" w:color="auto" w:fill="FFFFFF"/>
            <w:tcMar>
              <w:top w:w="30" w:type="dxa"/>
              <w:left w:w="30" w:type="dxa"/>
              <w:bottom w:w="30" w:type="dxa"/>
              <w:right w:w="30" w:type="dxa"/>
            </w:tcMar>
            <w:vAlign w:val="center"/>
            <w:hideMark/>
          </w:tcPr>
          <w:p w14:paraId="3AC32129"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808 739-4678</w:t>
            </w:r>
          </w:p>
        </w:tc>
        <w:tc>
          <w:tcPr>
            <w:tcW w:w="100" w:type="pct"/>
            <w:shd w:val="clear" w:color="auto" w:fill="FFFFFF"/>
            <w:tcMar>
              <w:top w:w="30" w:type="dxa"/>
              <w:left w:w="30" w:type="dxa"/>
              <w:bottom w:w="30" w:type="dxa"/>
              <w:right w:w="30" w:type="dxa"/>
            </w:tcMar>
            <w:vAlign w:val="center"/>
            <w:hideMark/>
          </w:tcPr>
          <w:p w14:paraId="6ADBFA3C"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60260941" w14:textId="77777777" w:rsidTr="00EA1EAE">
        <w:tc>
          <w:tcPr>
            <w:tcW w:w="950" w:type="pct"/>
            <w:shd w:val="clear" w:color="auto" w:fill="FFFFFF"/>
            <w:tcMar>
              <w:top w:w="30" w:type="dxa"/>
              <w:left w:w="30" w:type="dxa"/>
              <w:bottom w:w="30" w:type="dxa"/>
              <w:right w:w="30" w:type="dxa"/>
            </w:tcMar>
            <w:vAlign w:val="center"/>
            <w:hideMark/>
          </w:tcPr>
          <w:p w14:paraId="052AB9D3" w14:textId="77777777" w:rsidR="00EA1EAE" w:rsidRPr="00EA1EAE" w:rsidRDefault="00EA1EAE" w:rsidP="00EA1EAE">
            <w:pPr>
              <w:spacing w:after="0" w:line="240" w:lineRule="auto"/>
              <w:rPr>
                <w:rFonts w:ascii="Times New Roman" w:eastAsia="Times New Roman" w:hAnsi="Times New Roman" w:cs="Times New Roman"/>
                <w:sz w:val="20"/>
                <w:szCs w:val="20"/>
              </w:rPr>
            </w:pPr>
          </w:p>
        </w:tc>
        <w:tc>
          <w:tcPr>
            <w:tcW w:w="3850" w:type="pct"/>
            <w:shd w:val="clear" w:color="auto" w:fill="FFFFFF"/>
            <w:tcMar>
              <w:top w:w="30" w:type="dxa"/>
              <w:left w:w="30" w:type="dxa"/>
              <w:bottom w:w="30" w:type="dxa"/>
              <w:right w:w="30" w:type="dxa"/>
            </w:tcMar>
            <w:vAlign w:val="center"/>
            <w:hideMark/>
          </w:tcPr>
          <w:p w14:paraId="532781F5"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2DB17796"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Dr. Fryxell is the Dean of the School of Education and Behavioral Sciences and a Professor of Psychology at Chaminade University. His area of specialization is community psychology. Dr. Fryxell's current research interests </w:t>
            </w:r>
            <w:proofErr w:type="gramStart"/>
            <w:r w:rsidRPr="00EA1EAE">
              <w:rPr>
                <w:rFonts w:ascii="Lato" w:eastAsia="Times New Roman" w:hAnsi="Lato" w:cs="Times New Roman"/>
                <w:color w:val="2D3B45"/>
                <w:sz w:val="24"/>
                <w:szCs w:val="24"/>
              </w:rPr>
              <w:t>include:</w:t>
            </w:r>
            <w:proofErr w:type="gramEnd"/>
            <w:r w:rsidRPr="00EA1EAE">
              <w:rPr>
                <w:rFonts w:ascii="Lato" w:eastAsia="Times New Roman" w:hAnsi="Lato" w:cs="Times New Roman"/>
                <w:color w:val="2D3B45"/>
                <w:sz w:val="24"/>
                <w:szCs w:val="24"/>
              </w:rPr>
              <w:t xml:space="preserve"> anger/aggression/violence, developmental disabilities, drug and alcohol prevention, and child and adolescent behavioral problems.</w:t>
            </w:r>
          </w:p>
        </w:tc>
        <w:tc>
          <w:tcPr>
            <w:tcW w:w="100" w:type="pct"/>
            <w:shd w:val="clear" w:color="auto" w:fill="FFFFFF"/>
            <w:tcMar>
              <w:top w:w="30" w:type="dxa"/>
              <w:left w:w="30" w:type="dxa"/>
              <w:bottom w:w="30" w:type="dxa"/>
              <w:right w:w="30" w:type="dxa"/>
            </w:tcMar>
            <w:vAlign w:val="center"/>
            <w:hideMark/>
          </w:tcPr>
          <w:p w14:paraId="0C457855"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160E4204" w14:textId="77777777" w:rsidTr="00EA1EAE">
        <w:tc>
          <w:tcPr>
            <w:tcW w:w="4900" w:type="pct"/>
            <w:gridSpan w:val="3"/>
            <w:shd w:val="clear" w:color="auto" w:fill="FFFFFF"/>
            <w:tcMar>
              <w:top w:w="30" w:type="dxa"/>
              <w:left w:w="30" w:type="dxa"/>
              <w:bottom w:w="30" w:type="dxa"/>
              <w:right w:w="30" w:type="dxa"/>
            </w:tcMar>
            <w:vAlign w:val="center"/>
            <w:hideMark/>
          </w:tcPr>
          <w:p w14:paraId="2E3DDB2E" w14:textId="77777777" w:rsidR="00EA1EAE" w:rsidRPr="00EA1EAE" w:rsidRDefault="00EA1EAE" w:rsidP="00EA1EAE">
            <w:pPr>
              <w:spacing w:after="0" w:line="240" w:lineRule="auto"/>
              <w:rPr>
                <w:rFonts w:ascii="Times New Roman" w:eastAsia="Times New Roman" w:hAnsi="Times New Roman" w:cs="Times New Roman"/>
                <w:sz w:val="20"/>
                <w:szCs w:val="20"/>
              </w:rPr>
            </w:pPr>
          </w:p>
        </w:tc>
      </w:tr>
      <w:tr w:rsidR="00EA1EAE" w:rsidRPr="00EA1EAE" w14:paraId="6A9046E1" w14:textId="77777777" w:rsidTr="00EA1EAE">
        <w:tc>
          <w:tcPr>
            <w:tcW w:w="950" w:type="pct"/>
            <w:shd w:val="clear" w:color="auto" w:fill="FFFFFF"/>
            <w:tcMar>
              <w:top w:w="30" w:type="dxa"/>
              <w:left w:w="30" w:type="dxa"/>
              <w:bottom w:w="30" w:type="dxa"/>
              <w:right w:w="30" w:type="dxa"/>
            </w:tcMar>
            <w:vAlign w:val="center"/>
            <w:hideMark/>
          </w:tcPr>
          <w:p w14:paraId="3C073FD0" w14:textId="77777777" w:rsidR="00EA1EAE" w:rsidRPr="00EA1EAE" w:rsidRDefault="00EA1EAE" w:rsidP="00EA1EAE">
            <w:pPr>
              <w:spacing w:after="0" w:line="240" w:lineRule="auto"/>
              <w:rPr>
                <w:rFonts w:ascii="Times New Roman" w:eastAsia="Times New Roman" w:hAnsi="Times New Roman" w:cs="Times New Roman"/>
                <w:sz w:val="20"/>
                <w:szCs w:val="20"/>
              </w:rPr>
            </w:pPr>
          </w:p>
        </w:tc>
        <w:tc>
          <w:tcPr>
            <w:tcW w:w="3850" w:type="pct"/>
            <w:shd w:val="clear" w:color="auto" w:fill="FFFFFF"/>
            <w:tcMar>
              <w:top w:w="30" w:type="dxa"/>
              <w:left w:w="30" w:type="dxa"/>
              <w:bottom w:w="30" w:type="dxa"/>
              <w:right w:w="30" w:type="dxa"/>
            </w:tcMar>
            <w:vAlign w:val="center"/>
            <w:hideMark/>
          </w:tcPr>
          <w:p w14:paraId="7D27D66A"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 </w:t>
            </w:r>
          </w:p>
          <w:p w14:paraId="7C59A820"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Textbook</w:t>
            </w:r>
          </w:p>
          <w:p w14:paraId="1693CB23"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i/>
                <w:iCs/>
                <w:color w:val="2D3B45"/>
                <w:sz w:val="24"/>
                <w:szCs w:val="24"/>
              </w:rPr>
              <w:t>Berger, J. M. (2019).  Personality (10th Ed).  </w:t>
            </w:r>
            <w:r w:rsidRPr="00EA1EAE">
              <w:rPr>
                <w:rFonts w:ascii="Lato" w:eastAsia="Times New Roman" w:hAnsi="Lato" w:cs="Times New Roman"/>
                <w:color w:val="2D3B45"/>
                <w:sz w:val="24"/>
                <w:szCs w:val="24"/>
              </w:rPr>
              <w:t>Belmont, CA: Wadsworth (Cengage).  ISBN: </w:t>
            </w:r>
            <w:r w:rsidRPr="00EA1EAE">
              <w:rPr>
                <w:rFonts w:ascii="Lato" w:eastAsia="Times New Roman" w:hAnsi="Lato" w:cs="Times New Roman"/>
                <w:b/>
                <w:bCs/>
                <w:color w:val="2D3B45"/>
                <w:sz w:val="24"/>
                <w:szCs w:val="24"/>
              </w:rPr>
              <w:t> 978-1-337-55901-0.  </w:t>
            </w:r>
            <w:r w:rsidRPr="00EA1EAE">
              <w:rPr>
                <w:rFonts w:ascii="Lato" w:eastAsia="Times New Roman" w:hAnsi="Lato" w:cs="Times New Roman"/>
                <w:color w:val="2D3B45"/>
                <w:sz w:val="24"/>
                <w:szCs w:val="24"/>
              </w:rPr>
              <w:t xml:space="preserve">There is an </w:t>
            </w:r>
            <w:proofErr w:type="spellStart"/>
            <w:r w:rsidRPr="00EA1EAE">
              <w:rPr>
                <w:rFonts w:ascii="Lato" w:eastAsia="Times New Roman" w:hAnsi="Lato" w:cs="Times New Roman"/>
                <w:color w:val="2D3B45"/>
                <w:sz w:val="24"/>
                <w:szCs w:val="24"/>
              </w:rPr>
              <w:t>ebook</w:t>
            </w:r>
            <w:proofErr w:type="spellEnd"/>
            <w:r w:rsidRPr="00EA1EAE">
              <w:rPr>
                <w:rFonts w:ascii="Lato" w:eastAsia="Times New Roman" w:hAnsi="Lato" w:cs="Times New Roman"/>
                <w:color w:val="2D3B45"/>
                <w:sz w:val="24"/>
                <w:szCs w:val="24"/>
              </w:rPr>
              <w:t xml:space="preserve"> available on the </w:t>
            </w:r>
            <w:proofErr w:type="gramStart"/>
            <w:r w:rsidRPr="00EA1EAE">
              <w:rPr>
                <w:rFonts w:ascii="Lato" w:eastAsia="Times New Roman" w:hAnsi="Lato" w:cs="Times New Roman"/>
                <w:color w:val="2D3B45"/>
                <w:sz w:val="24"/>
                <w:szCs w:val="24"/>
              </w:rPr>
              <w:t>publishers</w:t>
            </w:r>
            <w:proofErr w:type="gramEnd"/>
            <w:r w:rsidRPr="00EA1EAE">
              <w:rPr>
                <w:rFonts w:ascii="Lato" w:eastAsia="Times New Roman" w:hAnsi="Lato" w:cs="Times New Roman"/>
                <w:color w:val="2D3B45"/>
                <w:sz w:val="24"/>
                <w:szCs w:val="24"/>
              </w:rPr>
              <w:t xml:space="preserve"> website.</w:t>
            </w:r>
          </w:p>
        </w:tc>
        <w:tc>
          <w:tcPr>
            <w:tcW w:w="100" w:type="pct"/>
            <w:shd w:val="clear" w:color="auto" w:fill="FFFFFF"/>
            <w:tcMar>
              <w:top w:w="30" w:type="dxa"/>
              <w:left w:w="30" w:type="dxa"/>
              <w:bottom w:w="30" w:type="dxa"/>
              <w:right w:w="30" w:type="dxa"/>
            </w:tcMar>
            <w:vAlign w:val="center"/>
            <w:hideMark/>
          </w:tcPr>
          <w:p w14:paraId="3EE4CCC4"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5029442D" w14:textId="77777777" w:rsidTr="00EA1EAE">
        <w:tc>
          <w:tcPr>
            <w:tcW w:w="4900" w:type="pct"/>
            <w:gridSpan w:val="3"/>
            <w:shd w:val="clear" w:color="auto" w:fill="FFFFFF"/>
            <w:tcMar>
              <w:top w:w="30" w:type="dxa"/>
              <w:left w:w="30" w:type="dxa"/>
              <w:bottom w:w="30" w:type="dxa"/>
              <w:right w:w="30" w:type="dxa"/>
            </w:tcMar>
            <w:vAlign w:val="center"/>
            <w:hideMark/>
          </w:tcPr>
          <w:p w14:paraId="3BFC111C" w14:textId="77777777" w:rsidR="00EA1EAE" w:rsidRPr="00EA1EAE" w:rsidRDefault="00EA1EAE" w:rsidP="00EA1EAE">
            <w:pPr>
              <w:spacing w:after="0" w:line="240" w:lineRule="auto"/>
              <w:rPr>
                <w:rFonts w:ascii="Times New Roman" w:eastAsia="Times New Roman" w:hAnsi="Times New Roman" w:cs="Times New Roman"/>
                <w:sz w:val="20"/>
                <w:szCs w:val="20"/>
              </w:rPr>
            </w:pPr>
          </w:p>
        </w:tc>
      </w:tr>
      <w:tr w:rsidR="00EA1EAE" w:rsidRPr="00EA1EAE" w14:paraId="1397CB58" w14:textId="77777777" w:rsidTr="00EA1EAE">
        <w:tc>
          <w:tcPr>
            <w:tcW w:w="950" w:type="pct"/>
            <w:shd w:val="clear" w:color="auto" w:fill="FFFFFF"/>
            <w:tcMar>
              <w:top w:w="30" w:type="dxa"/>
              <w:left w:w="30" w:type="dxa"/>
              <w:bottom w:w="30" w:type="dxa"/>
              <w:right w:w="30" w:type="dxa"/>
            </w:tcMar>
            <w:vAlign w:val="center"/>
            <w:hideMark/>
          </w:tcPr>
          <w:p w14:paraId="5A29467E" w14:textId="77777777" w:rsidR="00EA1EAE" w:rsidRPr="00EA1EAE" w:rsidRDefault="00EA1EAE" w:rsidP="00EA1EAE">
            <w:pPr>
              <w:spacing w:after="0" w:line="240" w:lineRule="auto"/>
              <w:rPr>
                <w:rFonts w:ascii="Times New Roman" w:eastAsia="Times New Roman" w:hAnsi="Times New Roman" w:cs="Times New Roman"/>
                <w:sz w:val="20"/>
                <w:szCs w:val="20"/>
              </w:rPr>
            </w:pPr>
          </w:p>
        </w:tc>
        <w:tc>
          <w:tcPr>
            <w:tcW w:w="3850" w:type="pct"/>
            <w:shd w:val="clear" w:color="auto" w:fill="FFFFFF"/>
            <w:tcMar>
              <w:top w:w="30" w:type="dxa"/>
              <w:left w:w="30" w:type="dxa"/>
              <w:bottom w:w="30" w:type="dxa"/>
              <w:right w:w="30" w:type="dxa"/>
            </w:tcMar>
            <w:vAlign w:val="center"/>
            <w:hideMark/>
          </w:tcPr>
          <w:p w14:paraId="7C8228EF"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u w:val="single"/>
              </w:rPr>
              <w:t>Program Learning Outcomes (PLOs).</w:t>
            </w:r>
          </w:p>
          <w:p w14:paraId="28695EDF"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lastRenderedPageBreak/>
              <w:t xml:space="preserve">1.      Students will identify core counseling theories, principles, concepts, </w:t>
            </w:r>
            <w:proofErr w:type="gramStart"/>
            <w:r w:rsidRPr="00EA1EAE">
              <w:rPr>
                <w:rFonts w:ascii="Lato" w:eastAsia="Times New Roman" w:hAnsi="Lato" w:cs="Times New Roman"/>
                <w:color w:val="2D3B45"/>
                <w:sz w:val="24"/>
                <w:szCs w:val="24"/>
              </w:rPr>
              <w:t>techniques</w:t>
            </w:r>
            <w:proofErr w:type="gramEnd"/>
            <w:r w:rsidRPr="00EA1EAE">
              <w:rPr>
                <w:rFonts w:ascii="Lato" w:eastAsia="Times New Roman" w:hAnsi="Lato" w:cs="Times New Roman"/>
                <w:color w:val="2D3B45"/>
                <w:sz w:val="24"/>
                <w:szCs w:val="24"/>
              </w:rPr>
              <w:t xml:space="preserve"> and facts.</w:t>
            </w:r>
          </w:p>
          <w:p w14:paraId="6D696933"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2.      Students will demonstrate the ability to facilitate the counseling process with clients.</w:t>
            </w:r>
          </w:p>
          <w:p w14:paraId="7FF5C1B5"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3.      Students will identify the relationship between adaptation and change and the counseling</w:t>
            </w:r>
            <w:r w:rsidRPr="00EA1EAE">
              <w:rPr>
                <w:rFonts w:ascii="Lato" w:eastAsia="Times New Roman" w:hAnsi="Lato" w:cs="Times New Roman"/>
                <w:color w:val="2D3B45"/>
                <w:sz w:val="24"/>
                <w:szCs w:val="24"/>
              </w:rPr>
              <w:br/>
              <w:t>process.</w:t>
            </w:r>
          </w:p>
          <w:p w14:paraId="12154A72"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r w:rsidRPr="00EA1EAE">
              <w:rPr>
                <w:rFonts w:ascii="Lato" w:eastAsia="Times New Roman" w:hAnsi="Lato" w:cs="Times New Roman"/>
                <w:color w:val="2D3B45"/>
                <w:sz w:val="24"/>
                <w:szCs w:val="24"/>
                <w:u w:val="single"/>
              </w:rPr>
              <w:t>Course Learning Outcomes (CLOs)</w:t>
            </w:r>
            <w:r w:rsidRPr="00EA1EAE">
              <w:rPr>
                <w:rFonts w:ascii="Lato" w:eastAsia="Times New Roman" w:hAnsi="Lato" w:cs="Times New Roman"/>
                <w:color w:val="2D3B45"/>
                <w:sz w:val="24"/>
                <w:szCs w:val="24"/>
              </w:rPr>
              <w:t>.</w:t>
            </w:r>
          </w:p>
          <w:p w14:paraId="55D5BD79"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1. Students will discuss personality theories in the context of counseling (PLO #1). Will be assessed primarily through PowerPoint presentations.</w:t>
            </w:r>
          </w:p>
          <w:p w14:paraId="03D29E6E"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2. Students will identify the biological, psychological, and environmental factors (including historical, cultural, and societal aspects) effecting the development of personality (PLO #1). Will be assessed </w:t>
            </w:r>
            <w:proofErr w:type="spellStart"/>
            <w:r w:rsidRPr="00EA1EAE">
              <w:rPr>
                <w:rFonts w:ascii="Lato" w:eastAsia="Times New Roman" w:hAnsi="Lato" w:cs="Times New Roman"/>
                <w:color w:val="2D3B45"/>
                <w:sz w:val="24"/>
                <w:szCs w:val="24"/>
              </w:rPr>
              <w:t>primarilyby</w:t>
            </w:r>
            <w:proofErr w:type="spellEnd"/>
            <w:r w:rsidRPr="00EA1EAE">
              <w:rPr>
                <w:rFonts w:ascii="Lato" w:eastAsia="Times New Roman" w:hAnsi="Lato" w:cs="Times New Roman"/>
                <w:color w:val="2D3B45"/>
                <w:sz w:val="24"/>
                <w:szCs w:val="24"/>
              </w:rPr>
              <w:t xml:space="preserve"> multiple choice quizzes.</w:t>
            </w:r>
          </w:p>
          <w:p w14:paraId="4214A2C6"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3. Students will demonstrate the assessment and interpretation of personality using a variety of instruments (PLO #2). Will be assessed primarily through personality test administration.</w:t>
            </w:r>
          </w:p>
          <w:p w14:paraId="2CB56457"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45D73259"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u w:val="single"/>
              </w:rPr>
              <w:t>Marianist Educational Values</w:t>
            </w:r>
            <w:r w:rsidRPr="00EA1EAE">
              <w:rPr>
                <w:rFonts w:ascii="Lato" w:eastAsia="Times New Roman" w:hAnsi="Lato" w:cs="Times New Roman"/>
                <w:color w:val="2D3B45"/>
                <w:sz w:val="24"/>
                <w:szCs w:val="24"/>
              </w:rPr>
              <w:t> - Chaminade University is a Catholic, Marianist University. The five characteristics of a Marianist education are:</w:t>
            </w:r>
          </w:p>
          <w:p w14:paraId="6BB36AE1"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1. Educate for Formation in Faith 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D181ED1"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2. Provide an Excellent Education </w:t>
            </w:r>
            <w:proofErr w:type="gramStart"/>
            <w:r w:rsidRPr="00EA1EAE">
              <w:rPr>
                <w:rFonts w:ascii="Lato" w:eastAsia="Times New Roman" w:hAnsi="Lato" w:cs="Times New Roman"/>
                <w:color w:val="2D3B45"/>
                <w:sz w:val="24"/>
                <w:szCs w:val="24"/>
              </w:rPr>
              <w:t>In</w:t>
            </w:r>
            <w:proofErr w:type="gramEnd"/>
            <w:r w:rsidRPr="00EA1EAE">
              <w:rPr>
                <w:rFonts w:ascii="Lato" w:eastAsia="Times New Roman" w:hAnsi="Lato" w:cs="Times New Roman"/>
                <w:color w:val="2D3B45"/>
                <w:sz w:val="24"/>
                <w:szCs w:val="24"/>
              </w:rPr>
              <w:t xml:space="preserve"> the Marianist approach to education, “excellence” includes the whole person, not just the technician or rhetorician. Marianist universities educate whole persons, developing their physical, psychological, intellectual, moral, </w:t>
            </w:r>
            <w:proofErr w:type="gramStart"/>
            <w:r w:rsidRPr="00EA1EAE">
              <w:rPr>
                <w:rFonts w:ascii="Lato" w:eastAsia="Times New Roman" w:hAnsi="Lato" w:cs="Times New Roman"/>
                <w:color w:val="2D3B45"/>
                <w:sz w:val="24"/>
                <w:szCs w:val="24"/>
              </w:rPr>
              <w:t>spiritual</w:t>
            </w:r>
            <w:proofErr w:type="gramEnd"/>
            <w:r w:rsidRPr="00EA1EAE">
              <w:rPr>
                <w:rFonts w:ascii="Lato" w:eastAsia="Times New Roman" w:hAnsi="Lato" w:cs="Times New Roman"/>
                <w:color w:val="2D3B45"/>
                <w:sz w:val="24"/>
                <w:szCs w:val="24"/>
              </w:rPr>
              <w:t xml:space="preserve"> and social qualities. Faculty and students attend to fundamental moral attitudes, develop their personal </w:t>
            </w:r>
            <w:proofErr w:type="gramStart"/>
            <w:r w:rsidRPr="00EA1EAE">
              <w:rPr>
                <w:rFonts w:ascii="Lato" w:eastAsia="Times New Roman" w:hAnsi="Lato" w:cs="Times New Roman"/>
                <w:color w:val="2D3B45"/>
                <w:sz w:val="24"/>
                <w:szCs w:val="24"/>
              </w:rPr>
              <w:t>talents</w:t>
            </w:r>
            <w:proofErr w:type="gramEnd"/>
            <w:r w:rsidRPr="00EA1EAE">
              <w:rPr>
                <w:rFonts w:ascii="Lato" w:eastAsia="Times New Roman" w:hAnsi="Lato" w:cs="Times New Roman"/>
                <w:color w:val="2D3B45"/>
                <w:sz w:val="24"/>
                <w:szCs w:val="24"/>
              </w:rPr>
              <w:t xml:space="preserve"> and acquire skills that will help them learn all their lives. The Marianist approach to education links theory and practice, liberal and professional education. Our age has been deeply shaped by science and technology. Most recently, information and educational technologies have </w:t>
            </w:r>
            <w:r w:rsidRPr="00EA1EAE">
              <w:rPr>
                <w:rFonts w:ascii="Lato" w:eastAsia="Times New Roman" w:hAnsi="Lato" w:cs="Times New Roman"/>
                <w:color w:val="2D3B45"/>
                <w:sz w:val="24"/>
                <w:szCs w:val="24"/>
              </w:rPr>
              <w:lastRenderedPageBreak/>
              <w:t>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0163131E"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3. Educate in Family Spirit 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EA1EAE">
              <w:rPr>
                <w:rFonts w:ascii="Lato" w:eastAsia="Times New Roman" w:hAnsi="Lato" w:cs="Times New Roman"/>
                <w:color w:val="2D3B45"/>
                <w:sz w:val="24"/>
                <w:szCs w:val="24"/>
              </w:rPr>
              <w:t>respect, and</w:t>
            </w:r>
            <w:proofErr w:type="gramEnd"/>
            <w:r w:rsidRPr="00EA1EAE">
              <w:rPr>
                <w:rFonts w:ascii="Lato" w:eastAsia="Times New Roman" w:hAnsi="Lato" w:cs="Times New Roman"/>
                <w:color w:val="2D3B45"/>
                <w:sz w:val="24"/>
                <w:szCs w:val="24"/>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 </w:t>
            </w:r>
          </w:p>
          <w:p w14:paraId="50E11B8C"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4. Educate for Service, Justice, and Peace </w:t>
            </w:r>
            <w:proofErr w:type="gramStart"/>
            <w:r w:rsidRPr="00EA1EAE">
              <w:rPr>
                <w:rFonts w:ascii="Lato" w:eastAsia="Times New Roman" w:hAnsi="Lato" w:cs="Times New Roman"/>
                <w:color w:val="2D3B45"/>
                <w:sz w:val="24"/>
                <w:szCs w:val="24"/>
              </w:rPr>
              <w:t>The</w:t>
            </w:r>
            <w:proofErr w:type="gramEnd"/>
            <w:r w:rsidRPr="00EA1EAE">
              <w:rPr>
                <w:rFonts w:ascii="Lato" w:eastAsia="Times New Roman" w:hAnsi="Lato" w:cs="Times New Roman"/>
                <w:color w:val="2D3B45"/>
                <w:sz w:val="24"/>
                <w:szCs w:val="24"/>
              </w:rPr>
              <w:t xml:space="preserv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w:t>
            </w:r>
            <w:proofErr w:type="gramStart"/>
            <w:r w:rsidRPr="00EA1EAE">
              <w:rPr>
                <w:rFonts w:ascii="Lato" w:eastAsia="Times New Roman" w:hAnsi="Lato" w:cs="Times New Roman"/>
                <w:color w:val="2D3B45"/>
                <w:sz w:val="24"/>
                <w:szCs w:val="24"/>
              </w:rPr>
              <w:t>rights</w:t>
            </w:r>
            <w:proofErr w:type="gramEnd"/>
            <w:r w:rsidRPr="00EA1EAE">
              <w:rPr>
                <w:rFonts w:ascii="Lato" w:eastAsia="Times New Roman" w:hAnsi="Lato" w:cs="Times New Roman"/>
                <w:color w:val="2D3B45"/>
                <w:sz w:val="24"/>
                <w:szCs w:val="24"/>
              </w:rPr>
              <w:t xml:space="preserve"> and responsibilities of all people.</w:t>
            </w:r>
          </w:p>
          <w:p w14:paraId="66EAA5CC"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5. Educate for Adaptation to Change 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made.</w:t>
            </w:r>
          </w:p>
          <w:p w14:paraId="52E7638B"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Selected from Characteristics of Marianist Universities: A Resource Paper, </w:t>
            </w:r>
            <w:proofErr w:type="gramStart"/>
            <w:r w:rsidRPr="00EA1EAE">
              <w:rPr>
                <w:rFonts w:ascii="Lato" w:eastAsia="Times New Roman" w:hAnsi="Lato" w:cs="Times New Roman"/>
                <w:color w:val="2D3B45"/>
                <w:sz w:val="24"/>
                <w:szCs w:val="24"/>
              </w:rPr>
              <w:t>Published</w:t>
            </w:r>
            <w:proofErr w:type="gramEnd"/>
            <w:r w:rsidRPr="00EA1EAE">
              <w:rPr>
                <w:rFonts w:ascii="Lato" w:eastAsia="Times New Roman" w:hAnsi="Lato" w:cs="Times New Roman"/>
                <w:color w:val="2D3B45"/>
                <w:sz w:val="24"/>
                <w:szCs w:val="24"/>
              </w:rPr>
              <w:t xml:space="preserve"> in 1999 by Chaminade University of Honolulu, St. Mary’s University and University of Dayton Each of these characteristics is integrated, to varying degrees, in this course.</w:t>
            </w:r>
          </w:p>
          <w:p w14:paraId="11E29C92"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u w:val="single"/>
              </w:rPr>
              <w:t>Native Hawaiian Values</w:t>
            </w:r>
          </w:p>
          <w:p w14:paraId="3D9D550C"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EA1EAE">
              <w:rPr>
                <w:rFonts w:ascii="Lato" w:eastAsia="Times New Roman" w:hAnsi="Lato" w:cs="Times New Roman"/>
                <w:color w:val="2D3B45"/>
                <w:sz w:val="24"/>
                <w:szCs w:val="24"/>
              </w:rPr>
              <w:t>Ke</w:t>
            </w:r>
            <w:proofErr w:type="spellEnd"/>
            <w:r w:rsidRPr="00EA1EAE">
              <w:rPr>
                <w:rFonts w:ascii="Lato" w:eastAsia="Times New Roman" w:hAnsi="Lato" w:cs="Times New Roman"/>
                <w:color w:val="2D3B45"/>
                <w:sz w:val="24"/>
                <w:szCs w:val="24"/>
              </w:rPr>
              <w:t xml:space="preserve"> Akua). </w:t>
            </w:r>
            <w:r w:rsidRPr="00EA1EAE">
              <w:rPr>
                <w:rFonts w:ascii="Lato" w:eastAsia="Times New Roman" w:hAnsi="Lato" w:cs="Times New Roman"/>
                <w:color w:val="2D3B45"/>
                <w:sz w:val="24"/>
                <w:szCs w:val="24"/>
              </w:rPr>
              <w:lastRenderedPageBreak/>
              <w:t>This is reflected in the ‘</w:t>
            </w:r>
            <w:proofErr w:type="spellStart"/>
            <w:r w:rsidRPr="00EA1EAE">
              <w:rPr>
                <w:rFonts w:ascii="Lato" w:eastAsia="Times New Roman" w:hAnsi="Lato" w:cs="Times New Roman"/>
                <w:color w:val="2D3B45"/>
                <w:sz w:val="24"/>
                <w:szCs w:val="24"/>
              </w:rPr>
              <w:t>Olelo</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No’eau</w:t>
            </w:r>
            <w:proofErr w:type="spellEnd"/>
            <w:r w:rsidRPr="00EA1EAE">
              <w:rPr>
                <w:rFonts w:ascii="Lato" w:eastAsia="Times New Roman" w:hAnsi="Lato" w:cs="Times New Roman"/>
                <w:color w:val="2D3B45"/>
                <w:sz w:val="24"/>
                <w:szCs w:val="24"/>
              </w:rPr>
              <w:t xml:space="preserve"> (Hawaiian proverbs) and Marianist core beliefs:</w:t>
            </w:r>
          </w:p>
          <w:p w14:paraId="57D47630" w14:textId="77777777" w:rsidR="00EA1EAE" w:rsidRPr="00EA1EAE" w:rsidRDefault="00EA1EAE" w:rsidP="00EA1EAE">
            <w:pPr>
              <w:numPr>
                <w:ilvl w:val="0"/>
                <w:numId w:val="1"/>
              </w:numPr>
              <w:spacing w:before="100" w:beforeAutospacing="1" w:after="100" w:afterAutospacing="1" w:line="240" w:lineRule="auto"/>
              <w:ind w:left="1095"/>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Educate for Formation in Faith (Mana) E ola au </w:t>
            </w:r>
            <w:proofErr w:type="spellStart"/>
            <w:r w:rsidRPr="00EA1EAE">
              <w:rPr>
                <w:rFonts w:ascii="Lato" w:eastAsia="Times New Roman" w:hAnsi="Lato" w:cs="Times New Roman"/>
                <w:color w:val="2D3B45"/>
                <w:sz w:val="24"/>
                <w:szCs w:val="24"/>
              </w:rPr>
              <w:t>i</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ke</w:t>
            </w:r>
            <w:proofErr w:type="spellEnd"/>
            <w:r w:rsidRPr="00EA1EAE">
              <w:rPr>
                <w:rFonts w:ascii="Lato" w:eastAsia="Times New Roman" w:hAnsi="Lato" w:cs="Times New Roman"/>
                <w:color w:val="2D3B45"/>
                <w:sz w:val="24"/>
                <w:szCs w:val="24"/>
              </w:rPr>
              <w:t xml:space="preserve"> akua (</w:t>
            </w:r>
            <w:proofErr w:type="spellStart"/>
            <w:r w:rsidRPr="00EA1EAE">
              <w:rPr>
                <w:rFonts w:ascii="Lato" w:eastAsia="Times New Roman" w:hAnsi="Lato" w:cs="Times New Roman"/>
                <w:color w:val="2D3B45"/>
                <w:sz w:val="24"/>
                <w:szCs w:val="24"/>
              </w:rPr>
              <w:t>ʻŌlelo</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Noʻeau</w:t>
            </w:r>
            <w:proofErr w:type="spellEnd"/>
            <w:r w:rsidRPr="00EA1EAE">
              <w:rPr>
                <w:rFonts w:ascii="Lato" w:eastAsia="Times New Roman" w:hAnsi="Lato" w:cs="Times New Roman"/>
                <w:color w:val="2D3B45"/>
                <w:sz w:val="24"/>
                <w:szCs w:val="24"/>
              </w:rPr>
              <w:t xml:space="preserve"> 364) May I live by God</w:t>
            </w:r>
          </w:p>
          <w:p w14:paraId="0CC6FE8F" w14:textId="77777777" w:rsidR="00EA1EAE" w:rsidRPr="00EA1EAE" w:rsidRDefault="00EA1EAE" w:rsidP="00EA1EAE">
            <w:pPr>
              <w:numPr>
                <w:ilvl w:val="0"/>
                <w:numId w:val="1"/>
              </w:numPr>
              <w:spacing w:before="100" w:beforeAutospacing="1" w:after="100" w:afterAutospacing="1" w:line="240" w:lineRule="auto"/>
              <w:ind w:left="1095"/>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Provide an Integral, Quality Education (</w:t>
            </w:r>
            <w:proofErr w:type="spellStart"/>
            <w:r w:rsidRPr="00EA1EAE">
              <w:rPr>
                <w:rFonts w:ascii="Lato" w:eastAsia="Times New Roman" w:hAnsi="Lato" w:cs="Times New Roman"/>
                <w:color w:val="2D3B45"/>
                <w:sz w:val="24"/>
                <w:szCs w:val="24"/>
              </w:rPr>
              <w:t>Na’auao</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Lawe</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i</w:t>
            </w:r>
            <w:proofErr w:type="spellEnd"/>
            <w:r w:rsidRPr="00EA1EAE">
              <w:rPr>
                <w:rFonts w:ascii="Lato" w:eastAsia="Times New Roman" w:hAnsi="Lato" w:cs="Times New Roman"/>
                <w:color w:val="2D3B45"/>
                <w:sz w:val="24"/>
                <w:szCs w:val="24"/>
              </w:rPr>
              <w:t xml:space="preserve"> ka </w:t>
            </w:r>
            <w:proofErr w:type="spellStart"/>
            <w:r w:rsidRPr="00EA1EAE">
              <w:rPr>
                <w:rFonts w:ascii="Lato" w:eastAsia="Times New Roman" w:hAnsi="Lato" w:cs="Times New Roman"/>
                <w:color w:val="2D3B45"/>
                <w:sz w:val="24"/>
                <w:szCs w:val="24"/>
              </w:rPr>
              <w:t>maʻalea</w:t>
            </w:r>
            <w:proofErr w:type="spellEnd"/>
            <w:r w:rsidRPr="00EA1EAE">
              <w:rPr>
                <w:rFonts w:ascii="Lato" w:eastAsia="Times New Roman" w:hAnsi="Lato" w:cs="Times New Roman"/>
                <w:color w:val="2D3B45"/>
                <w:sz w:val="24"/>
                <w:szCs w:val="24"/>
              </w:rPr>
              <w:t xml:space="preserve"> a </w:t>
            </w:r>
            <w:proofErr w:type="spellStart"/>
            <w:r w:rsidRPr="00EA1EAE">
              <w:rPr>
                <w:rFonts w:ascii="Lato" w:eastAsia="Times New Roman" w:hAnsi="Lato" w:cs="Times New Roman"/>
                <w:color w:val="2D3B45"/>
                <w:sz w:val="24"/>
                <w:szCs w:val="24"/>
              </w:rPr>
              <w:t>kūʻonoʻono</w:t>
            </w:r>
            <w:proofErr w:type="spellEnd"/>
            <w:r w:rsidRPr="00EA1EAE">
              <w:rPr>
                <w:rFonts w:ascii="Lato" w:eastAsia="Times New Roman" w:hAnsi="Lato" w:cs="Times New Roman"/>
                <w:color w:val="2D3B45"/>
                <w:sz w:val="24"/>
                <w:szCs w:val="24"/>
              </w:rPr>
              <w:t xml:space="preserve"> (</w:t>
            </w:r>
            <w:proofErr w:type="spellStart"/>
            <w:proofErr w:type="gramStart"/>
            <w:r w:rsidRPr="00EA1EAE">
              <w:rPr>
                <w:rFonts w:ascii="Lato" w:eastAsia="Times New Roman" w:hAnsi="Lato" w:cs="Times New Roman"/>
                <w:color w:val="2D3B45"/>
                <w:sz w:val="24"/>
                <w:szCs w:val="24"/>
              </w:rPr>
              <w:t>ʻŌlelo</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Noʻeau</w:t>
            </w:r>
            <w:proofErr w:type="spellEnd"/>
            <w:proofErr w:type="gramEnd"/>
            <w:r w:rsidRPr="00EA1EAE">
              <w:rPr>
                <w:rFonts w:ascii="Lato" w:eastAsia="Times New Roman" w:hAnsi="Lato" w:cs="Times New Roman"/>
                <w:color w:val="2D3B45"/>
                <w:sz w:val="24"/>
                <w:szCs w:val="24"/>
              </w:rPr>
              <w:t xml:space="preserve"> 1957) Acquire skill and make it deep</w:t>
            </w:r>
          </w:p>
          <w:p w14:paraId="492075BC" w14:textId="77777777" w:rsidR="00EA1EAE" w:rsidRPr="00EA1EAE" w:rsidRDefault="00EA1EAE" w:rsidP="00EA1EAE">
            <w:pPr>
              <w:numPr>
                <w:ilvl w:val="0"/>
                <w:numId w:val="1"/>
              </w:numPr>
              <w:spacing w:before="100" w:beforeAutospacing="1" w:after="100" w:afterAutospacing="1" w:line="240" w:lineRule="auto"/>
              <w:ind w:left="1095"/>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Educate in Family Spirit (‘</w:t>
            </w:r>
            <w:proofErr w:type="spellStart"/>
            <w:r w:rsidRPr="00EA1EAE">
              <w:rPr>
                <w:rFonts w:ascii="Lato" w:eastAsia="Times New Roman" w:hAnsi="Lato" w:cs="Times New Roman"/>
                <w:color w:val="2D3B45"/>
                <w:sz w:val="24"/>
                <w:szCs w:val="24"/>
              </w:rPr>
              <w:t>Ohana</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ʻIke</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aku</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ʻike</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mai</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kōkua</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aku</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kōkua</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mai</w:t>
            </w:r>
            <w:proofErr w:type="spellEnd"/>
            <w:r w:rsidRPr="00EA1EAE">
              <w:rPr>
                <w:rFonts w:ascii="Lato" w:eastAsia="Times New Roman" w:hAnsi="Lato" w:cs="Times New Roman"/>
                <w:color w:val="2D3B45"/>
                <w:sz w:val="24"/>
                <w:szCs w:val="24"/>
              </w:rPr>
              <w:t xml:space="preserve">; pela </w:t>
            </w:r>
            <w:proofErr w:type="spellStart"/>
            <w:r w:rsidRPr="00EA1EAE">
              <w:rPr>
                <w:rFonts w:ascii="Lato" w:eastAsia="Times New Roman" w:hAnsi="Lato" w:cs="Times New Roman"/>
                <w:color w:val="2D3B45"/>
                <w:sz w:val="24"/>
                <w:szCs w:val="24"/>
              </w:rPr>
              <w:t>iho</w:t>
            </w:r>
            <w:proofErr w:type="spellEnd"/>
            <w:r w:rsidRPr="00EA1EAE">
              <w:rPr>
                <w:rFonts w:ascii="Lato" w:eastAsia="Times New Roman" w:hAnsi="Lato" w:cs="Times New Roman"/>
                <w:color w:val="2D3B45"/>
                <w:sz w:val="24"/>
                <w:szCs w:val="24"/>
              </w:rPr>
              <w:t xml:space="preserve"> la ka </w:t>
            </w:r>
            <w:proofErr w:type="spellStart"/>
            <w:r w:rsidRPr="00EA1EAE">
              <w:rPr>
                <w:rFonts w:ascii="Lato" w:eastAsia="Times New Roman" w:hAnsi="Lato" w:cs="Times New Roman"/>
                <w:color w:val="2D3B45"/>
                <w:sz w:val="24"/>
                <w:szCs w:val="24"/>
              </w:rPr>
              <w:t>nohana</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ʻohana</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Ōlelo</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Noʻeau</w:t>
            </w:r>
            <w:proofErr w:type="spellEnd"/>
            <w:r w:rsidRPr="00EA1EAE">
              <w:rPr>
                <w:rFonts w:ascii="Lato" w:eastAsia="Times New Roman" w:hAnsi="Lato" w:cs="Times New Roman"/>
                <w:color w:val="2D3B45"/>
                <w:sz w:val="24"/>
                <w:szCs w:val="24"/>
              </w:rPr>
              <w:t xml:space="preserve"> 1200) Recognize others, be recognized, help others, be helped; such is a family relationship</w:t>
            </w:r>
          </w:p>
          <w:p w14:paraId="7D519991" w14:textId="77777777" w:rsidR="00EA1EAE" w:rsidRPr="00EA1EAE" w:rsidRDefault="00EA1EAE" w:rsidP="00EA1EAE">
            <w:pPr>
              <w:numPr>
                <w:ilvl w:val="0"/>
                <w:numId w:val="1"/>
              </w:numPr>
              <w:spacing w:before="100" w:beforeAutospacing="1" w:after="100" w:afterAutospacing="1" w:line="240" w:lineRule="auto"/>
              <w:ind w:left="1095"/>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Educate for Service, </w:t>
            </w:r>
            <w:proofErr w:type="gramStart"/>
            <w:r w:rsidRPr="00EA1EAE">
              <w:rPr>
                <w:rFonts w:ascii="Lato" w:eastAsia="Times New Roman" w:hAnsi="Lato" w:cs="Times New Roman"/>
                <w:color w:val="2D3B45"/>
                <w:sz w:val="24"/>
                <w:szCs w:val="24"/>
              </w:rPr>
              <w:t>Justice</w:t>
            </w:r>
            <w:proofErr w:type="gramEnd"/>
            <w:r w:rsidRPr="00EA1EAE">
              <w:rPr>
                <w:rFonts w:ascii="Lato" w:eastAsia="Times New Roman" w:hAnsi="Lato" w:cs="Times New Roman"/>
                <w:color w:val="2D3B45"/>
                <w:sz w:val="24"/>
                <w:szCs w:val="24"/>
              </w:rPr>
              <w:t xml:space="preserve"> and Peace (Aloha) Ka lama </w:t>
            </w:r>
            <w:proofErr w:type="spellStart"/>
            <w:r w:rsidRPr="00EA1EAE">
              <w:rPr>
                <w:rFonts w:ascii="Lato" w:eastAsia="Times New Roman" w:hAnsi="Lato" w:cs="Times New Roman"/>
                <w:color w:val="2D3B45"/>
                <w:sz w:val="24"/>
                <w:szCs w:val="24"/>
              </w:rPr>
              <w:t>kū</w:t>
            </w:r>
            <w:proofErr w:type="spellEnd"/>
            <w:r w:rsidRPr="00EA1EAE">
              <w:rPr>
                <w:rFonts w:ascii="Lato" w:eastAsia="Times New Roman" w:hAnsi="Lato" w:cs="Times New Roman"/>
                <w:color w:val="2D3B45"/>
                <w:sz w:val="24"/>
                <w:szCs w:val="24"/>
              </w:rPr>
              <w:t xml:space="preserve"> o ka </w:t>
            </w:r>
            <w:proofErr w:type="spellStart"/>
            <w:r w:rsidRPr="00EA1EAE">
              <w:rPr>
                <w:rFonts w:ascii="Lato" w:eastAsia="Times New Roman" w:hAnsi="Lato" w:cs="Times New Roman"/>
                <w:color w:val="2D3B45"/>
                <w:sz w:val="24"/>
                <w:szCs w:val="24"/>
              </w:rPr>
              <w:t>noʻeau</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ʻŌlelo</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Noʻeau</w:t>
            </w:r>
            <w:proofErr w:type="spellEnd"/>
            <w:r w:rsidRPr="00EA1EAE">
              <w:rPr>
                <w:rFonts w:ascii="Lato" w:eastAsia="Times New Roman" w:hAnsi="Lato" w:cs="Times New Roman"/>
                <w:color w:val="2D3B45"/>
                <w:sz w:val="24"/>
                <w:szCs w:val="24"/>
              </w:rPr>
              <w:t xml:space="preserve"> 1430) Education is the standing torch of wisdom</w:t>
            </w:r>
          </w:p>
          <w:p w14:paraId="3E7D3B93" w14:textId="77777777" w:rsidR="00EA1EAE" w:rsidRPr="00EA1EAE" w:rsidRDefault="00EA1EAE" w:rsidP="00EA1EAE">
            <w:pPr>
              <w:numPr>
                <w:ilvl w:val="0"/>
                <w:numId w:val="1"/>
              </w:numPr>
              <w:spacing w:before="100" w:beforeAutospacing="1" w:after="100" w:afterAutospacing="1" w:line="240" w:lineRule="auto"/>
              <w:ind w:left="1095"/>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Educate for Adaptation and Change (</w:t>
            </w:r>
            <w:proofErr w:type="spellStart"/>
            <w:r w:rsidRPr="00EA1EAE">
              <w:rPr>
                <w:rFonts w:ascii="Lato" w:eastAsia="Times New Roman" w:hAnsi="Lato" w:cs="Times New Roman"/>
                <w:color w:val="2D3B45"/>
                <w:sz w:val="24"/>
                <w:szCs w:val="24"/>
              </w:rPr>
              <w:t>Aina</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ʻAʻohe</w:t>
            </w:r>
            <w:proofErr w:type="spellEnd"/>
            <w:r w:rsidRPr="00EA1EAE">
              <w:rPr>
                <w:rFonts w:ascii="Lato" w:eastAsia="Times New Roman" w:hAnsi="Lato" w:cs="Times New Roman"/>
                <w:color w:val="2D3B45"/>
                <w:sz w:val="24"/>
                <w:szCs w:val="24"/>
              </w:rPr>
              <w:t xml:space="preserve"> pau ka ‘</w:t>
            </w:r>
            <w:proofErr w:type="spellStart"/>
            <w:r w:rsidRPr="00EA1EAE">
              <w:rPr>
                <w:rFonts w:ascii="Lato" w:eastAsia="Times New Roman" w:hAnsi="Lato" w:cs="Times New Roman"/>
                <w:color w:val="2D3B45"/>
                <w:sz w:val="24"/>
                <w:szCs w:val="24"/>
              </w:rPr>
              <w:t>ike</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i</w:t>
            </w:r>
            <w:proofErr w:type="spellEnd"/>
            <w:r w:rsidRPr="00EA1EAE">
              <w:rPr>
                <w:rFonts w:ascii="Lato" w:eastAsia="Times New Roman" w:hAnsi="Lato" w:cs="Times New Roman"/>
                <w:color w:val="2D3B45"/>
                <w:sz w:val="24"/>
                <w:szCs w:val="24"/>
              </w:rPr>
              <w:t xml:space="preserve"> ka </w:t>
            </w:r>
            <w:proofErr w:type="spellStart"/>
            <w:r w:rsidRPr="00EA1EAE">
              <w:rPr>
                <w:rFonts w:ascii="Lato" w:eastAsia="Times New Roman" w:hAnsi="Lato" w:cs="Times New Roman"/>
                <w:color w:val="2D3B45"/>
                <w:sz w:val="24"/>
                <w:szCs w:val="24"/>
              </w:rPr>
              <w:t>hālau</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hoʻokahi</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ʻŌlelo</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Noʻeau</w:t>
            </w:r>
            <w:proofErr w:type="spellEnd"/>
            <w:r w:rsidRPr="00EA1EAE">
              <w:rPr>
                <w:rFonts w:ascii="Lato" w:eastAsia="Times New Roman" w:hAnsi="Lato" w:cs="Times New Roman"/>
                <w:color w:val="2D3B45"/>
                <w:sz w:val="24"/>
                <w:szCs w:val="24"/>
              </w:rPr>
              <w:t xml:space="preserve"> 203) All knowledge is not taught in the same school.</w:t>
            </w:r>
          </w:p>
          <w:p w14:paraId="65633F75"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2B86492A"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u w:val="single"/>
              </w:rPr>
              <w:t>Scientific Method Definitions</w:t>
            </w:r>
          </w:p>
          <w:p w14:paraId="59B1AC0B"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The </w:t>
            </w:r>
            <w:r w:rsidRPr="00EA1EAE">
              <w:rPr>
                <w:rFonts w:ascii="Lato" w:eastAsia="Times New Roman" w:hAnsi="Lato" w:cs="Times New Roman"/>
                <w:b/>
                <w:bCs/>
                <w:color w:val="2D3B45"/>
                <w:sz w:val="24"/>
                <w:szCs w:val="24"/>
              </w:rPr>
              <w:t>METHODS OF SCIENCE</w:t>
            </w:r>
            <w:r w:rsidRPr="00EA1EAE">
              <w:rPr>
                <w:rFonts w:ascii="Lato" w:eastAsia="Times New Roman" w:hAnsi="Lato" w:cs="Times New Roman"/>
                <w:color w:val="2D3B45"/>
                <w:sz w:val="24"/>
                <w:szCs w:val="24"/>
              </w:rPr>
              <w:t> are only tools, tools that we use to obtain knowledge about phenomena.</w:t>
            </w:r>
          </w:p>
          <w:p w14:paraId="10220F65"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The </w:t>
            </w:r>
            <w:r w:rsidRPr="00EA1EAE">
              <w:rPr>
                <w:rFonts w:ascii="Lato" w:eastAsia="Times New Roman" w:hAnsi="Lato" w:cs="Times New Roman"/>
                <w:b/>
                <w:bCs/>
                <w:color w:val="2D3B45"/>
                <w:sz w:val="24"/>
                <w:szCs w:val="24"/>
              </w:rPr>
              <w:t>SCIENTIFIC METHOD</w:t>
            </w:r>
            <w:r w:rsidRPr="00EA1EAE">
              <w:rPr>
                <w:rFonts w:ascii="Lato" w:eastAsia="Times New Roman" w:hAnsi="Lato" w:cs="Times New Roman"/>
                <w:color w:val="2D3B45"/>
                <w:sz w:val="24"/>
                <w:szCs w:val="24"/>
              </w:rPr>
              <w:t>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A1EAE">
              <w:rPr>
                <w:rFonts w:ascii="Lato" w:eastAsia="Times New Roman" w:hAnsi="Lato" w:cs="Times New Roman"/>
                <w:b/>
                <w:bCs/>
                <w:color w:val="2D3B45"/>
                <w:sz w:val="24"/>
                <w:szCs w:val="24"/>
              </w:rPr>
              <w:t>THAN A WAY OF LIMITING FALSE CONCLUSIONS ABOUT NATURAL EVENTS.</w:t>
            </w:r>
          </w:p>
          <w:p w14:paraId="05B550AA"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Knowledge of which the credibility of a profession is based must be objective and verifiable (testable) rather than subjective and untestable.</w:t>
            </w:r>
          </w:p>
          <w:p w14:paraId="17E43B5D"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SCIENCE</w:t>
            </w:r>
            <w:r w:rsidRPr="00EA1EAE">
              <w:rPr>
                <w:rFonts w:ascii="Lato" w:eastAsia="Times New Roman" w:hAnsi="Lato" w:cs="Times New Roman"/>
                <w:color w:val="2D3B45"/>
                <w:sz w:val="24"/>
                <w:szCs w:val="24"/>
              </w:rPr>
              <w:t> is a mode of controlled inquiry to develop an objective, effective, and credible way of knowing.</w:t>
            </w:r>
          </w:p>
          <w:p w14:paraId="29C61BB4"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The assumptions one makes regarding the basic qualities of human nature (that is, cognitive, affective, behavioral, and physiological processes) affect how one conceptualizes human behavior.</w:t>
            </w:r>
          </w:p>
          <w:p w14:paraId="302195B8"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The two basic functions of scientific approach are 1) advance knowledge, to make discoveries, and to learn facts </w:t>
            </w:r>
            <w:proofErr w:type="gramStart"/>
            <w:r w:rsidRPr="00EA1EAE">
              <w:rPr>
                <w:rFonts w:ascii="Lato" w:eastAsia="Times New Roman" w:hAnsi="Lato" w:cs="Times New Roman"/>
                <w:color w:val="2D3B45"/>
                <w:sz w:val="24"/>
                <w:szCs w:val="24"/>
              </w:rPr>
              <w:t>in order to</w:t>
            </w:r>
            <w:proofErr w:type="gramEnd"/>
            <w:r w:rsidRPr="00EA1EAE">
              <w:rPr>
                <w:rFonts w:ascii="Lato" w:eastAsia="Times New Roman" w:hAnsi="Lato" w:cs="Times New Roman"/>
                <w:color w:val="2D3B45"/>
                <w:sz w:val="24"/>
                <w:szCs w:val="24"/>
              </w:rPr>
              <w:t xml:space="preserve"> improve some aspect of the </w:t>
            </w:r>
            <w:r w:rsidRPr="00EA1EAE">
              <w:rPr>
                <w:rFonts w:ascii="Lato" w:eastAsia="Times New Roman" w:hAnsi="Lato" w:cs="Times New Roman"/>
                <w:color w:val="2D3B45"/>
                <w:sz w:val="24"/>
                <w:szCs w:val="24"/>
              </w:rPr>
              <w:lastRenderedPageBreak/>
              <w:t>world, and 2) to establish relations among events, develop theories, and this helps professionals to make predictions of future events.</w:t>
            </w:r>
          </w:p>
          <w:p w14:paraId="137978B5"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r w:rsidRPr="00EA1EAE">
              <w:rPr>
                <w:rFonts w:ascii="Lato" w:eastAsia="Times New Roman" w:hAnsi="Lato" w:cs="Times New Roman"/>
                <w:color w:val="2D3B45"/>
                <w:sz w:val="24"/>
                <w:szCs w:val="24"/>
                <w:u w:val="single"/>
              </w:rPr>
              <w:t>Research Design in Counseling</w:t>
            </w:r>
          </w:p>
          <w:p w14:paraId="36186875"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                                                                                    Heppner, Kivlighan, and </w:t>
            </w:r>
            <w:proofErr w:type="spellStart"/>
            <w:r w:rsidRPr="00EA1EAE">
              <w:rPr>
                <w:rFonts w:ascii="Lato" w:eastAsia="Times New Roman" w:hAnsi="Lato" w:cs="Times New Roman"/>
                <w:color w:val="2D3B45"/>
                <w:sz w:val="24"/>
                <w:szCs w:val="24"/>
              </w:rPr>
              <w:t>Wampold</w:t>
            </w:r>
            <w:proofErr w:type="spellEnd"/>
          </w:p>
          <w:p w14:paraId="616C2CE4"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0E02FF3F"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A </w:t>
            </w:r>
            <w:r w:rsidRPr="00EA1EAE">
              <w:rPr>
                <w:rFonts w:ascii="Lato" w:eastAsia="Times New Roman" w:hAnsi="Lato" w:cs="Times New Roman"/>
                <w:b/>
                <w:bCs/>
                <w:color w:val="2D3B45"/>
                <w:sz w:val="24"/>
                <w:szCs w:val="24"/>
              </w:rPr>
              <w:t>THEORY</w:t>
            </w:r>
            <w:r w:rsidRPr="00EA1EAE">
              <w:rPr>
                <w:rFonts w:ascii="Lato" w:eastAsia="Times New Roman" w:hAnsi="Lato" w:cs="Times New Roman"/>
                <w:color w:val="2D3B45"/>
                <w:sz w:val="24"/>
                <w:szCs w:val="24"/>
              </w:rPr>
              <w:t> is a large body of interconnected propositions about how some portion of the world operates; a </w:t>
            </w:r>
            <w:r w:rsidRPr="00EA1EAE">
              <w:rPr>
                <w:rFonts w:ascii="Lato" w:eastAsia="Times New Roman" w:hAnsi="Lato" w:cs="Times New Roman"/>
                <w:b/>
                <w:bCs/>
                <w:color w:val="2D3B45"/>
                <w:sz w:val="24"/>
                <w:szCs w:val="24"/>
              </w:rPr>
              <w:t>HYPOTHESIS</w:t>
            </w:r>
            <w:r w:rsidRPr="00EA1EAE">
              <w:rPr>
                <w:rFonts w:ascii="Lato" w:eastAsia="Times New Roman" w:hAnsi="Lato" w:cs="Times New Roman"/>
                <w:color w:val="2D3B45"/>
                <w:sz w:val="24"/>
                <w:szCs w:val="24"/>
              </w:rPr>
              <w:t> is a smaller body of propositions.  </w:t>
            </w:r>
            <w:r w:rsidRPr="00EA1EAE">
              <w:rPr>
                <w:rFonts w:ascii="Lato" w:eastAsia="Times New Roman" w:hAnsi="Lato" w:cs="Times New Roman"/>
                <w:b/>
                <w:bCs/>
                <w:color w:val="2D3B45"/>
                <w:sz w:val="24"/>
                <w:szCs w:val="24"/>
              </w:rPr>
              <w:t>HYPOTHESES</w:t>
            </w:r>
            <w:r w:rsidRPr="00EA1EAE">
              <w:rPr>
                <w:rFonts w:ascii="Lato" w:eastAsia="Times New Roman" w:hAnsi="Lato" w:cs="Times New Roman"/>
                <w:color w:val="2D3B45"/>
                <w:sz w:val="24"/>
                <w:szCs w:val="24"/>
              </w:rPr>
              <w:t> are smaller versions of theories.  Some are derived or born from theories.  Others begin as researchers’ hunches and develop into theories.</w:t>
            </w:r>
          </w:p>
          <w:p w14:paraId="2406D441"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The </w:t>
            </w:r>
            <w:r w:rsidRPr="00EA1EAE">
              <w:rPr>
                <w:rFonts w:ascii="Lato" w:eastAsia="Times New Roman" w:hAnsi="Lato" w:cs="Times New Roman"/>
                <w:b/>
                <w:bCs/>
                <w:color w:val="2D3B45"/>
                <w:sz w:val="24"/>
                <w:szCs w:val="24"/>
              </w:rPr>
              <w:t>PHILOSOPHY OF SCIENCE</w:t>
            </w:r>
            <w:r w:rsidRPr="00EA1EAE">
              <w:rPr>
                <w:rFonts w:ascii="Lato" w:eastAsia="Times New Roman" w:hAnsi="Lato" w:cs="Times New Roman"/>
                <w:color w:val="2D3B45"/>
                <w:sz w:val="24"/>
                <w:szCs w:val="24"/>
              </w:rPr>
              <w:t> decrees we can only falsify, not verify (prove), theories because we can never be sure that any given theory provides the best explanation for a set of observations.</w:t>
            </w:r>
          </w:p>
          <w:p w14:paraId="35097637"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r w:rsidRPr="00EA1EAE">
              <w:rPr>
                <w:rFonts w:ascii="Lato" w:eastAsia="Times New Roman" w:hAnsi="Lato" w:cs="Times New Roman"/>
                <w:color w:val="2D3B45"/>
                <w:sz w:val="24"/>
                <w:szCs w:val="24"/>
                <w:u w:val="single"/>
              </w:rPr>
              <w:t xml:space="preserve">Research Method </w:t>
            </w:r>
            <w:proofErr w:type="gramStart"/>
            <w:r w:rsidRPr="00EA1EAE">
              <w:rPr>
                <w:rFonts w:ascii="Lato" w:eastAsia="Times New Roman" w:hAnsi="Lato" w:cs="Times New Roman"/>
                <w:color w:val="2D3B45"/>
                <w:sz w:val="24"/>
                <w:szCs w:val="24"/>
                <w:u w:val="single"/>
              </w:rPr>
              <w:t>In</w:t>
            </w:r>
            <w:proofErr w:type="gramEnd"/>
            <w:r w:rsidRPr="00EA1EAE">
              <w:rPr>
                <w:rFonts w:ascii="Lato" w:eastAsia="Times New Roman" w:hAnsi="Lato" w:cs="Times New Roman"/>
                <w:color w:val="2D3B45"/>
                <w:sz w:val="24"/>
                <w:szCs w:val="24"/>
                <w:u w:val="single"/>
              </w:rPr>
              <w:t xml:space="preserve"> Social Relations</w:t>
            </w:r>
          </w:p>
          <w:p w14:paraId="4708E316"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Kidder</w:t>
            </w:r>
          </w:p>
          <w:p w14:paraId="3AFCAB4B"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0A443018"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THEORIES</w:t>
            </w:r>
            <w:r w:rsidRPr="00EA1EAE">
              <w:rPr>
                <w:rFonts w:ascii="Lato" w:eastAsia="Times New Roman" w:hAnsi="Lato" w:cs="Times New Roman"/>
                <w:color w:val="2D3B45"/>
                <w:sz w:val="24"/>
                <w:szCs w:val="24"/>
              </w:rPr>
              <w:t> are not themselves directly proved or disproved by research.  Even </w:t>
            </w:r>
            <w:r w:rsidRPr="00EA1EAE">
              <w:rPr>
                <w:rFonts w:ascii="Lato" w:eastAsia="Times New Roman" w:hAnsi="Lato" w:cs="Times New Roman"/>
                <w:b/>
                <w:bCs/>
                <w:color w:val="2D3B45"/>
                <w:sz w:val="24"/>
                <w:szCs w:val="24"/>
              </w:rPr>
              <w:t>HYPOTHESES</w:t>
            </w:r>
            <w:r w:rsidRPr="00EA1EAE">
              <w:rPr>
                <w:rFonts w:ascii="Lato" w:eastAsia="Times New Roman" w:hAnsi="Lato" w:cs="Times New Roman"/>
                <w:color w:val="2D3B45"/>
                <w:sz w:val="24"/>
                <w:szCs w:val="24"/>
              </w:rPr>
              <w:t> cannot be proved or disproved directly.  Rather, research may either support or fail to support a particular hypothesis derived from a theory.</w:t>
            </w:r>
          </w:p>
          <w:p w14:paraId="74F5C602"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Scientific research has four general goals: (1) to describe behavior, (2) to predict behavior, (3) to determine the causes of behavior, and (4) to understand or explain behavior.</w:t>
            </w:r>
          </w:p>
          <w:p w14:paraId="13BA2AE6"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r w:rsidRPr="00EA1EAE">
              <w:rPr>
                <w:rFonts w:ascii="Lato" w:eastAsia="Times New Roman" w:hAnsi="Lato" w:cs="Times New Roman"/>
                <w:color w:val="2D3B45"/>
                <w:sz w:val="24"/>
                <w:szCs w:val="24"/>
                <w:u w:val="single"/>
              </w:rPr>
              <w:t>Methods In Behavioral Research</w:t>
            </w:r>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Cozby</w:t>
            </w:r>
            <w:proofErr w:type="spellEnd"/>
          </w:p>
          <w:p w14:paraId="680C69E2"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3F46E303" w14:textId="77777777" w:rsidR="00EA1EAE" w:rsidRPr="00EA1EAE" w:rsidRDefault="00EA1EAE" w:rsidP="00EA1EAE">
            <w:pPr>
              <w:spacing w:before="180" w:after="180" w:line="240" w:lineRule="auto"/>
              <w:rPr>
                <w:rFonts w:ascii="Lato" w:eastAsia="Times New Roman" w:hAnsi="Lato" w:cs="Times New Roman"/>
                <w:color w:val="2D3B45"/>
                <w:sz w:val="24"/>
                <w:szCs w:val="24"/>
              </w:rPr>
            </w:pPr>
            <w:proofErr w:type="gramStart"/>
            <w:r w:rsidRPr="00EA1EAE">
              <w:rPr>
                <w:rFonts w:ascii="Lato" w:eastAsia="Times New Roman" w:hAnsi="Lato" w:cs="Times New Roman"/>
                <w:color w:val="2D3B45"/>
                <w:sz w:val="24"/>
                <w:szCs w:val="24"/>
              </w:rPr>
              <w:t>In order to</w:t>
            </w:r>
            <w:proofErr w:type="gramEnd"/>
            <w:r w:rsidRPr="00EA1EAE">
              <w:rPr>
                <w:rFonts w:ascii="Lato" w:eastAsia="Times New Roman" w:hAnsi="Lato" w:cs="Times New Roman"/>
                <w:color w:val="2D3B45"/>
                <w:sz w:val="24"/>
                <w:szCs w:val="24"/>
              </w:rPr>
              <w:t xml:space="preserve"> verify the reliability and validity of scientific research it is important to replicate the results.  It is the preponderance of evidence that establishes/supports the theory.</w:t>
            </w:r>
          </w:p>
          <w:p w14:paraId="1D7FB0C0" w14:textId="77777777" w:rsidR="00EA1EAE" w:rsidRPr="00EA1EAE" w:rsidRDefault="00EA1EAE" w:rsidP="00EA1EAE">
            <w:pPr>
              <w:spacing w:after="0" w:line="240" w:lineRule="auto"/>
              <w:rPr>
                <w:rFonts w:ascii="Lato" w:eastAsia="Times New Roman" w:hAnsi="Lato" w:cs="Times New Roman"/>
                <w:color w:val="2D3B45"/>
                <w:sz w:val="24"/>
                <w:szCs w:val="24"/>
              </w:rPr>
            </w:pPr>
            <w:hyperlink r:id="rId6" w:tgtFrame="_blank" w:history="1">
              <w:r w:rsidRPr="00EA1EAE">
                <w:rPr>
                  <w:rFonts w:ascii="Lato" w:eastAsia="Times New Roman" w:hAnsi="Lato" w:cs="Times New Roman"/>
                  <w:color w:val="0000FF"/>
                  <w:sz w:val="24"/>
                  <w:szCs w:val="24"/>
                  <w:u w:val="single"/>
                </w:rPr>
                <w:t>http://allpsych.com/researchmethods/replication.html (Links to an external site.)</w:t>
              </w:r>
              <w:r w:rsidRPr="00EA1EAE">
                <w:rPr>
                  <w:rFonts w:ascii="Lato" w:eastAsia="Times New Roman" w:hAnsi="Lato" w:cs="Times New Roman"/>
                  <w:color w:val="0000FF"/>
                  <w:sz w:val="24"/>
                  <w:szCs w:val="24"/>
                  <w:u w:val="single"/>
                  <w:bdr w:val="none" w:sz="0" w:space="0" w:color="auto" w:frame="1"/>
                </w:rPr>
                <w:t> (Links to an external site.)</w:t>
              </w:r>
            </w:hyperlink>
            <w:r w:rsidRPr="00EA1EAE">
              <w:rPr>
                <w:rFonts w:ascii="Lato" w:eastAsia="Times New Roman" w:hAnsi="Lato" w:cs="Times New Roman"/>
                <w:color w:val="2D3B45"/>
                <w:sz w:val="24"/>
                <w:szCs w:val="24"/>
              </w:rPr>
              <w:t>  </w:t>
            </w:r>
          </w:p>
          <w:p w14:paraId="46AC743D"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lastRenderedPageBreak/>
              <w:t> </w:t>
            </w:r>
          </w:p>
        </w:tc>
        <w:tc>
          <w:tcPr>
            <w:tcW w:w="100" w:type="pct"/>
            <w:shd w:val="clear" w:color="auto" w:fill="FFFFFF"/>
            <w:tcMar>
              <w:top w:w="30" w:type="dxa"/>
              <w:left w:w="30" w:type="dxa"/>
              <w:bottom w:w="30" w:type="dxa"/>
              <w:right w:w="30" w:type="dxa"/>
            </w:tcMar>
            <w:vAlign w:val="center"/>
            <w:hideMark/>
          </w:tcPr>
          <w:p w14:paraId="60F434BB"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4A26EBFF" w14:textId="77777777" w:rsidTr="00EA1EAE">
        <w:tc>
          <w:tcPr>
            <w:tcW w:w="4900" w:type="pct"/>
            <w:gridSpan w:val="3"/>
            <w:shd w:val="clear" w:color="auto" w:fill="FFFFFF"/>
            <w:tcMar>
              <w:top w:w="30" w:type="dxa"/>
              <w:left w:w="30" w:type="dxa"/>
              <w:bottom w:w="30" w:type="dxa"/>
              <w:right w:w="30" w:type="dxa"/>
            </w:tcMar>
            <w:vAlign w:val="center"/>
            <w:hideMark/>
          </w:tcPr>
          <w:p w14:paraId="4160A78A"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lastRenderedPageBreak/>
              <w:t>Course Requirements</w:t>
            </w:r>
          </w:p>
          <w:p w14:paraId="3408384B"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A.     Quizzes (16 @ 10 = 160 points) Sixteen quizzes will be administered through Canvas during the semester. The quizzes will be available starting on Monday of the week that they are assigned.  There is a </w:t>
            </w:r>
            <w:proofErr w:type="gramStart"/>
            <w:r w:rsidRPr="00EA1EAE">
              <w:rPr>
                <w:rFonts w:ascii="Lato" w:eastAsia="Times New Roman" w:hAnsi="Lato" w:cs="Times New Roman"/>
                <w:color w:val="2D3B45"/>
                <w:sz w:val="24"/>
                <w:szCs w:val="24"/>
              </w:rPr>
              <w:t>one hour</w:t>
            </w:r>
            <w:proofErr w:type="gramEnd"/>
            <w:r w:rsidRPr="00EA1EAE">
              <w:rPr>
                <w:rFonts w:ascii="Lato" w:eastAsia="Times New Roman" w:hAnsi="Lato" w:cs="Times New Roman"/>
                <w:color w:val="2D3B45"/>
                <w:sz w:val="24"/>
                <w:szCs w:val="24"/>
              </w:rPr>
              <w:t xml:space="preserve"> time limit and the quizzes can only be opened one time so be sure that you are ready to take the quizzes before you open them.</w:t>
            </w:r>
          </w:p>
          <w:p w14:paraId="3A6462F3"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B. Project (100 </w:t>
            </w:r>
            <w:proofErr w:type="gramStart"/>
            <w:r w:rsidRPr="00EA1EAE">
              <w:rPr>
                <w:rFonts w:ascii="Lato" w:eastAsia="Times New Roman" w:hAnsi="Lato" w:cs="Times New Roman"/>
                <w:color w:val="2D3B45"/>
                <w:sz w:val="24"/>
                <w:szCs w:val="24"/>
              </w:rPr>
              <w:t>points)  Each</w:t>
            </w:r>
            <w:proofErr w:type="gramEnd"/>
            <w:r w:rsidRPr="00EA1EAE">
              <w:rPr>
                <w:rFonts w:ascii="Lato" w:eastAsia="Times New Roman" w:hAnsi="Lato" w:cs="Times New Roman"/>
                <w:color w:val="2D3B45"/>
                <w:sz w:val="24"/>
                <w:szCs w:val="24"/>
              </w:rPr>
              <w:t xml:space="preserve"> student will be required to select one of the major personality theorists and provide a concise </w:t>
            </w:r>
            <w:proofErr w:type="spellStart"/>
            <w:r w:rsidRPr="00EA1EAE">
              <w:rPr>
                <w:rFonts w:ascii="Lato" w:eastAsia="Times New Roman" w:hAnsi="Lato" w:cs="Times New Roman"/>
                <w:color w:val="2D3B45"/>
                <w:sz w:val="24"/>
                <w:szCs w:val="24"/>
              </w:rPr>
              <w:t>Powerpoint</w:t>
            </w:r>
            <w:proofErr w:type="spellEnd"/>
            <w:r w:rsidRPr="00EA1EAE">
              <w:rPr>
                <w:rFonts w:ascii="Lato" w:eastAsia="Times New Roman" w:hAnsi="Lato" w:cs="Times New Roman"/>
                <w:color w:val="2D3B45"/>
                <w:sz w:val="24"/>
                <w:szCs w:val="24"/>
              </w:rPr>
              <w:t xml:space="preserve"> presentation on that person and their major contributions to the field of personality psychology.  Included in this presentation should be a </w:t>
            </w:r>
            <w:proofErr w:type="gramStart"/>
            <w:r w:rsidRPr="00EA1EAE">
              <w:rPr>
                <w:rFonts w:ascii="Lato" w:eastAsia="Times New Roman" w:hAnsi="Lato" w:cs="Times New Roman"/>
                <w:color w:val="2D3B45"/>
                <w:sz w:val="24"/>
                <w:szCs w:val="24"/>
              </w:rPr>
              <w:t>two page</w:t>
            </w:r>
            <w:proofErr w:type="gramEnd"/>
            <w:r w:rsidRPr="00EA1EAE">
              <w:rPr>
                <w:rFonts w:ascii="Lato" w:eastAsia="Times New Roman" w:hAnsi="Lato" w:cs="Times New Roman"/>
                <w:color w:val="2D3B45"/>
                <w:sz w:val="24"/>
                <w:szCs w:val="24"/>
              </w:rPr>
              <w:t xml:space="preserve"> fact sheet outlining the important points.  The theorist will be selected on a first to sign up basis.  Just send me an email as to which theorist you are interested </w:t>
            </w:r>
            <w:proofErr w:type="gramStart"/>
            <w:r w:rsidRPr="00EA1EAE">
              <w:rPr>
                <w:rFonts w:ascii="Lato" w:eastAsia="Times New Roman" w:hAnsi="Lato" w:cs="Times New Roman"/>
                <w:color w:val="2D3B45"/>
                <w:sz w:val="24"/>
                <w:szCs w:val="24"/>
              </w:rPr>
              <w:t>in</w:t>
            </w:r>
            <w:proofErr w:type="gramEnd"/>
            <w:r w:rsidRPr="00EA1EAE">
              <w:rPr>
                <w:rFonts w:ascii="Lato" w:eastAsia="Times New Roman" w:hAnsi="Lato" w:cs="Times New Roman"/>
                <w:color w:val="2D3B45"/>
                <w:sz w:val="24"/>
                <w:szCs w:val="24"/>
              </w:rPr>
              <w:t xml:space="preserve"> and I will let you know if that theorist is still open or whether someone else has already selected that person.  Both the </w:t>
            </w:r>
            <w:proofErr w:type="spellStart"/>
            <w:r w:rsidRPr="00EA1EAE">
              <w:rPr>
                <w:rFonts w:ascii="Lato" w:eastAsia="Times New Roman" w:hAnsi="Lato" w:cs="Times New Roman"/>
                <w:color w:val="2D3B45"/>
                <w:sz w:val="24"/>
                <w:szCs w:val="24"/>
              </w:rPr>
              <w:t>powerpoint</w:t>
            </w:r>
            <w:proofErr w:type="spellEnd"/>
            <w:r w:rsidRPr="00EA1EAE">
              <w:rPr>
                <w:rFonts w:ascii="Lato" w:eastAsia="Times New Roman" w:hAnsi="Lato" w:cs="Times New Roman"/>
                <w:color w:val="2D3B45"/>
                <w:sz w:val="24"/>
                <w:szCs w:val="24"/>
              </w:rPr>
              <w:t xml:space="preserve"> presentation and the fact sheet should be submitted on Canvas.  You can select your theorist from the following list: Henry Murray, Gordon Allport, Hans Eysenck, Raymond Cattel, Alfred Adler, Carl Jung, Heinz Kohut, Harry Stack Sullivan, Karen Horney, Margaret Mahler, Anna Freud, Jane </w:t>
            </w:r>
            <w:proofErr w:type="spellStart"/>
            <w:r w:rsidRPr="00EA1EAE">
              <w:rPr>
                <w:rFonts w:ascii="Lato" w:eastAsia="Times New Roman" w:hAnsi="Lato" w:cs="Times New Roman"/>
                <w:color w:val="2D3B45"/>
                <w:sz w:val="24"/>
                <w:szCs w:val="24"/>
              </w:rPr>
              <w:t>Loevinger</w:t>
            </w:r>
            <w:proofErr w:type="spellEnd"/>
            <w:r w:rsidRPr="00EA1EAE">
              <w:rPr>
                <w:rFonts w:ascii="Lato" w:eastAsia="Times New Roman" w:hAnsi="Lato" w:cs="Times New Roman"/>
                <w:color w:val="2D3B45"/>
                <w:sz w:val="24"/>
                <w:szCs w:val="24"/>
              </w:rPr>
              <w:t xml:space="preserve">, Erich Fromm, Melanie Klein, Otto </w:t>
            </w:r>
            <w:proofErr w:type="spellStart"/>
            <w:r w:rsidRPr="00EA1EAE">
              <w:rPr>
                <w:rFonts w:ascii="Lato" w:eastAsia="Times New Roman" w:hAnsi="Lato" w:cs="Times New Roman"/>
                <w:color w:val="2D3B45"/>
                <w:sz w:val="24"/>
                <w:szCs w:val="24"/>
              </w:rPr>
              <w:t>Kernberg</w:t>
            </w:r>
            <w:proofErr w:type="spellEnd"/>
            <w:r w:rsidRPr="00EA1EAE">
              <w:rPr>
                <w:rFonts w:ascii="Lato" w:eastAsia="Times New Roman" w:hAnsi="Lato" w:cs="Times New Roman"/>
                <w:color w:val="2D3B45"/>
                <w:sz w:val="24"/>
                <w:szCs w:val="24"/>
              </w:rPr>
              <w:t xml:space="preserve">, John Dollard, Neal Miller, Albert Bandura, Ivan Pavlov, BF Skinner, Julian Rotter, Carl Rogers, Rollo May, Walter </w:t>
            </w:r>
            <w:proofErr w:type="spellStart"/>
            <w:r w:rsidRPr="00EA1EAE">
              <w:rPr>
                <w:rFonts w:ascii="Lato" w:eastAsia="Times New Roman" w:hAnsi="Lato" w:cs="Times New Roman"/>
                <w:color w:val="2D3B45"/>
                <w:sz w:val="24"/>
                <w:szCs w:val="24"/>
              </w:rPr>
              <w:t>Mischel</w:t>
            </w:r>
            <w:proofErr w:type="spellEnd"/>
            <w:r w:rsidRPr="00EA1EAE">
              <w:rPr>
                <w:rFonts w:ascii="Lato" w:eastAsia="Times New Roman" w:hAnsi="Lato" w:cs="Times New Roman"/>
                <w:color w:val="2D3B45"/>
                <w:sz w:val="24"/>
                <w:szCs w:val="24"/>
              </w:rPr>
              <w:t xml:space="preserve">, Aaron Beck, Kurt Lewin, Sigmund </w:t>
            </w:r>
            <w:proofErr w:type="gramStart"/>
            <w:r w:rsidRPr="00EA1EAE">
              <w:rPr>
                <w:rFonts w:ascii="Lato" w:eastAsia="Times New Roman" w:hAnsi="Lato" w:cs="Times New Roman"/>
                <w:color w:val="2D3B45"/>
                <w:sz w:val="24"/>
                <w:szCs w:val="24"/>
              </w:rPr>
              <w:t>Freud,  Erik</w:t>
            </w:r>
            <w:proofErr w:type="gramEnd"/>
            <w:r w:rsidRPr="00EA1EAE">
              <w:rPr>
                <w:rFonts w:ascii="Lato" w:eastAsia="Times New Roman" w:hAnsi="Lato" w:cs="Times New Roman"/>
                <w:color w:val="2D3B45"/>
                <w:sz w:val="24"/>
                <w:szCs w:val="24"/>
              </w:rPr>
              <w:t xml:space="preserve"> Erikson, and Abraham Maslow.</w:t>
            </w:r>
          </w:p>
          <w:p w14:paraId="3834C59E"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C. Weekly Activities (8 @ 25 = 200 points) Weekly activities are posted to complete each week.  Submit the activities for each week by Sunday at midnight of the week that they are assigned.</w:t>
            </w:r>
          </w:p>
          <w:p w14:paraId="5B8E00DC"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D. Final Integrative Paper (40 points) Each student will write a 3 – </w:t>
            </w:r>
            <w:proofErr w:type="gramStart"/>
            <w:r w:rsidRPr="00EA1EAE">
              <w:rPr>
                <w:rFonts w:ascii="Lato" w:eastAsia="Times New Roman" w:hAnsi="Lato" w:cs="Times New Roman"/>
                <w:color w:val="2D3B45"/>
                <w:sz w:val="24"/>
                <w:szCs w:val="24"/>
              </w:rPr>
              <w:t>4 page</w:t>
            </w:r>
            <w:proofErr w:type="gramEnd"/>
            <w:r w:rsidRPr="00EA1EAE">
              <w:rPr>
                <w:rFonts w:ascii="Lato" w:eastAsia="Times New Roman" w:hAnsi="Lato" w:cs="Times New Roman"/>
                <w:color w:val="2D3B45"/>
                <w:sz w:val="24"/>
                <w:szCs w:val="24"/>
              </w:rPr>
              <w:t xml:space="preserve"> paper incorporating what they have learned in this class and how it has impacted their own personal theory on what makes people think, feel, and behave the way they do. This paper should incorporate information about how their personal theory will impact them as a counselor. [Basically, this paper should describe your own theory of personality and how it will impact the counseling services that you will be providing related to your </w:t>
            </w:r>
            <w:proofErr w:type="gramStart"/>
            <w:r w:rsidRPr="00EA1EAE">
              <w:rPr>
                <w:rFonts w:ascii="Lato" w:eastAsia="Times New Roman" w:hAnsi="Lato" w:cs="Times New Roman"/>
                <w:color w:val="2D3B45"/>
                <w:sz w:val="24"/>
                <w:szCs w:val="24"/>
              </w:rPr>
              <w:t>particular counseling</w:t>
            </w:r>
            <w:proofErr w:type="gramEnd"/>
            <w:r w:rsidRPr="00EA1EAE">
              <w:rPr>
                <w:rFonts w:ascii="Lato" w:eastAsia="Times New Roman" w:hAnsi="Lato" w:cs="Times New Roman"/>
                <w:color w:val="2D3B45"/>
                <w:sz w:val="24"/>
                <w:szCs w:val="24"/>
              </w:rPr>
              <w:t xml:space="preserve"> emphasis.] </w:t>
            </w:r>
          </w:p>
          <w:p w14:paraId="71C3D62E" w14:textId="77777777" w:rsidR="00EA1EAE" w:rsidRPr="00EA1EAE" w:rsidRDefault="00EA1EAE" w:rsidP="00EA1EAE">
            <w:pPr>
              <w:spacing w:after="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E.  Weekly Discussions (10 @ 10 points) Ten weekly class discussion question will be posted.  Sometime between Monday and Thursday each week, you should respond to the question.  Then, sometime between Friday and Sunday, you should go back and read </w:t>
            </w:r>
            <w:proofErr w:type="gramStart"/>
            <w:r w:rsidRPr="00EA1EAE">
              <w:rPr>
                <w:rFonts w:ascii="Lato" w:eastAsia="Times New Roman" w:hAnsi="Lato" w:cs="Times New Roman"/>
                <w:color w:val="2D3B45"/>
                <w:sz w:val="24"/>
                <w:szCs w:val="24"/>
              </w:rPr>
              <w:t>all of</w:t>
            </w:r>
            <w:proofErr w:type="gramEnd"/>
            <w:r w:rsidRPr="00EA1EAE">
              <w:rPr>
                <w:rFonts w:ascii="Lato" w:eastAsia="Times New Roman" w:hAnsi="Lato" w:cs="Times New Roman"/>
                <w:color w:val="2D3B45"/>
                <w:sz w:val="24"/>
                <w:szCs w:val="24"/>
              </w:rPr>
              <w:t xml:space="preserve"> the submissions and respond to at least three of your classmate’s posts.  It is expected that each student’s posts for each week will be approximately one page in length.  The following guidelines should be used to actively and intelligently participate in the class discussions (adopted from </w:t>
            </w:r>
            <w:hyperlink r:id="rId7" w:tgtFrame="_blank" w:history="1">
              <w:r w:rsidRPr="00EA1EAE">
                <w:rPr>
                  <w:rFonts w:ascii="Lato" w:eastAsia="Times New Roman" w:hAnsi="Lato" w:cs="Times New Roman"/>
                  <w:b/>
                  <w:bCs/>
                  <w:color w:val="0000FF"/>
                  <w:sz w:val="24"/>
                  <w:szCs w:val="24"/>
                  <w:u w:val="single"/>
                </w:rPr>
                <w:t>http://www.rasmussen.edu/student-</w:t>
              </w:r>
              <w:r w:rsidRPr="00EA1EAE">
                <w:rPr>
                  <w:rFonts w:ascii="Lato" w:eastAsia="Times New Roman" w:hAnsi="Lato" w:cs="Times New Roman"/>
                  <w:b/>
                  <w:bCs/>
                  <w:color w:val="0000FF"/>
                  <w:sz w:val="24"/>
                  <w:szCs w:val="24"/>
                  <w:u w:val="single"/>
                </w:rPr>
                <w:lastRenderedPageBreak/>
                <w:t>life/blogs/college-life/tips-for-writing-thoughtful-discussion-responses// (Links to an external site.)</w:t>
              </w:r>
              <w:r w:rsidRPr="00EA1EAE">
                <w:rPr>
                  <w:rFonts w:ascii="Lato" w:eastAsia="Times New Roman" w:hAnsi="Lato" w:cs="Times New Roman"/>
                  <w:b/>
                  <w:bCs/>
                  <w:color w:val="0000FF"/>
                  <w:sz w:val="24"/>
                  <w:szCs w:val="24"/>
                  <w:u w:val="single"/>
                  <w:bdr w:val="none" w:sz="0" w:space="0" w:color="auto" w:frame="1"/>
                </w:rPr>
                <w:t> (Links to an external site.)</w:t>
              </w:r>
            </w:hyperlink>
            <w:r w:rsidRPr="00EA1EAE">
              <w:rPr>
                <w:rFonts w:ascii="Lato" w:eastAsia="Times New Roman" w:hAnsi="Lato" w:cs="Times New Roman"/>
                <w:b/>
                <w:bCs/>
                <w:color w:val="2D3B45"/>
                <w:sz w:val="24"/>
                <w:szCs w:val="24"/>
              </w:rPr>
              <w:t>. </w:t>
            </w:r>
            <w:r w:rsidRPr="00EA1EAE">
              <w:rPr>
                <w:rFonts w:ascii="Lato" w:eastAsia="Times New Roman" w:hAnsi="Lato" w:cs="Times New Roman"/>
                <w:color w:val="2D3B45"/>
                <w:sz w:val="24"/>
                <w:szCs w:val="24"/>
              </w:rPr>
              <w:t>   </w:t>
            </w:r>
          </w:p>
          <w:p w14:paraId="00FC8FE3" w14:textId="77777777" w:rsidR="00EA1EAE" w:rsidRPr="00EA1EAE" w:rsidRDefault="00EA1EAE" w:rsidP="00EA1EAE">
            <w:pPr>
              <w:numPr>
                <w:ilvl w:val="0"/>
                <w:numId w:val="2"/>
              </w:numPr>
              <w:spacing w:before="100" w:beforeAutospacing="1" w:after="100" w:afterAutospacing="1" w:line="240" w:lineRule="auto"/>
              <w:ind w:left="1095"/>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Ask open-ended questions to promote discussion. Open-ended questions require individuals to write more than a simple one- or two-word answer. Open-ended questions require the use of critical thinking skills and allow individuals to reflect on their thoughts and feelings about a particular topic.</w:t>
            </w:r>
          </w:p>
          <w:p w14:paraId="74289D9A" w14:textId="77777777" w:rsidR="00EA1EAE" w:rsidRPr="00EA1EAE" w:rsidRDefault="00EA1EAE" w:rsidP="00EA1EAE">
            <w:pPr>
              <w:numPr>
                <w:ilvl w:val="0"/>
                <w:numId w:val="2"/>
              </w:numPr>
              <w:spacing w:before="100" w:beforeAutospacing="1" w:after="100" w:afterAutospacing="1" w:line="240" w:lineRule="auto"/>
              <w:ind w:left="1095"/>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Don’t be afraid to disagree. It is okay to disagree with what someone has to say or play the "devil’s advocate." However, when you choose to disagree, remember to do so respectfully. Everyone is entitled to their own </w:t>
            </w:r>
            <w:proofErr w:type="gramStart"/>
            <w:r w:rsidRPr="00EA1EAE">
              <w:rPr>
                <w:rFonts w:ascii="Lato" w:eastAsia="Times New Roman" w:hAnsi="Lato" w:cs="Times New Roman"/>
                <w:color w:val="2D3B45"/>
                <w:sz w:val="24"/>
                <w:szCs w:val="24"/>
              </w:rPr>
              <w:t>opinion</w:t>
            </w:r>
            <w:proofErr w:type="gramEnd"/>
            <w:r w:rsidRPr="00EA1EAE">
              <w:rPr>
                <w:rFonts w:ascii="Lato" w:eastAsia="Times New Roman" w:hAnsi="Lato" w:cs="Times New Roman"/>
                <w:color w:val="2D3B45"/>
                <w:sz w:val="24"/>
                <w:szCs w:val="24"/>
              </w:rPr>
              <w:t xml:space="preserve"> and it is okay for you to offer your own interpretation.</w:t>
            </w:r>
          </w:p>
          <w:p w14:paraId="5533083E" w14:textId="77777777" w:rsidR="00EA1EAE" w:rsidRPr="00EA1EAE" w:rsidRDefault="00EA1EAE" w:rsidP="00EA1EAE">
            <w:pPr>
              <w:numPr>
                <w:ilvl w:val="0"/>
                <w:numId w:val="2"/>
              </w:numPr>
              <w:spacing w:before="100" w:beforeAutospacing="1" w:after="100" w:afterAutospacing="1" w:line="240" w:lineRule="auto"/>
              <w:ind w:left="1095"/>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Give reasons for your opinion. It is important to provide reasons for your thoughts and feelings about the topic. You may even choose to make a personal connection or share a personal experience with your classmates. Applying class information to real-world situations is a great way to demonstrate that you truly understand what you are learning.</w:t>
            </w:r>
          </w:p>
          <w:p w14:paraId="21D01C19" w14:textId="77777777" w:rsidR="00EA1EAE" w:rsidRPr="00EA1EAE" w:rsidRDefault="00EA1EAE" w:rsidP="00EA1EAE">
            <w:pPr>
              <w:numPr>
                <w:ilvl w:val="0"/>
                <w:numId w:val="2"/>
              </w:numPr>
              <w:spacing w:before="100" w:beforeAutospacing="1" w:after="100" w:afterAutospacing="1" w:line="240" w:lineRule="auto"/>
              <w:ind w:left="1095"/>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Think outside the box. Online discussions can get boring when everyone’s posts begin to sound the same. Don’t be afraid to propose a new idea or ask a probing question to generate conversation.</w:t>
            </w:r>
          </w:p>
          <w:p w14:paraId="47D2C24C" w14:textId="77777777" w:rsidR="00EA1EAE" w:rsidRPr="00EA1EAE" w:rsidRDefault="00EA1EAE" w:rsidP="00EA1EAE">
            <w:pPr>
              <w:numPr>
                <w:ilvl w:val="0"/>
                <w:numId w:val="2"/>
              </w:numPr>
              <w:spacing w:before="100" w:beforeAutospacing="1" w:after="100" w:afterAutospacing="1" w:line="240" w:lineRule="auto"/>
              <w:ind w:left="1095"/>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Include outside resources. It is often helpful to include outside resources in your responses. Share an article or a website that is relevant to the topic of discussion. Introducing new, relevant ideas from resources, other than the provided class materials, can help take learning to the next level.</w:t>
            </w:r>
          </w:p>
          <w:p w14:paraId="7B74C7EE"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tc>
      </w:tr>
      <w:tr w:rsidR="00EA1EAE" w:rsidRPr="00EA1EAE" w14:paraId="33DC4439" w14:textId="77777777" w:rsidTr="00EA1EAE">
        <w:tc>
          <w:tcPr>
            <w:tcW w:w="950" w:type="pct"/>
            <w:shd w:val="clear" w:color="auto" w:fill="FFFFFF"/>
            <w:tcMar>
              <w:top w:w="30" w:type="dxa"/>
              <w:left w:w="30" w:type="dxa"/>
              <w:bottom w:w="30" w:type="dxa"/>
              <w:right w:w="30" w:type="dxa"/>
            </w:tcMar>
            <w:vAlign w:val="center"/>
            <w:hideMark/>
          </w:tcPr>
          <w:p w14:paraId="52387D43" w14:textId="77777777" w:rsidR="00EA1EAE" w:rsidRPr="00EA1EAE" w:rsidRDefault="00EA1EAE" w:rsidP="00EA1EAE">
            <w:pPr>
              <w:spacing w:after="0" w:line="240" w:lineRule="auto"/>
              <w:rPr>
                <w:rFonts w:ascii="Lato" w:eastAsia="Times New Roman" w:hAnsi="Lato" w:cs="Times New Roman"/>
                <w:color w:val="2D3B45"/>
                <w:sz w:val="24"/>
                <w:szCs w:val="24"/>
              </w:rPr>
            </w:pPr>
          </w:p>
        </w:tc>
        <w:tc>
          <w:tcPr>
            <w:tcW w:w="3850" w:type="pct"/>
            <w:shd w:val="clear" w:color="auto" w:fill="FFFFFF"/>
            <w:tcMar>
              <w:top w:w="30" w:type="dxa"/>
              <w:left w:w="30" w:type="dxa"/>
              <w:bottom w:w="30" w:type="dxa"/>
              <w:right w:w="30" w:type="dxa"/>
            </w:tcMar>
            <w:vAlign w:val="center"/>
            <w:hideMark/>
          </w:tcPr>
          <w:p w14:paraId="5C2A5532"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Grading</w:t>
            </w:r>
          </w:p>
          <w:p w14:paraId="5F13418B"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Grades will be based on the quality of work and will be assigned based on a straight percentage using the following chart:</w:t>
            </w:r>
          </w:p>
          <w:p w14:paraId="00C65E4C"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90% - 100% A</w:t>
            </w:r>
          </w:p>
          <w:p w14:paraId="551C3332"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80% - 89% B</w:t>
            </w:r>
          </w:p>
          <w:p w14:paraId="35E4D7BD"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79% or below C</w:t>
            </w:r>
          </w:p>
          <w:p w14:paraId="2735330C"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tc>
        <w:tc>
          <w:tcPr>
            <w:tcW w:w="100" w:type="pct"/>
            <w:shd w:val="clear" w:color="auto" w:fill="FFFFFF"/>
            <w:tcMar>
              <w:top w:w="30" w:type="dxa"/>
              <w:left w:w="30" w:type="dxa"/>
              <w:bottom w:w="30" w:type="dxa"/>
              <w:right w:w="30" w:type="dxa"/>
            </w:tcMar>
            <w:vAlign w:val="center"/>
            <w:hideMark/>
          </w:tcPr>
          <w:p w14:paraId="3EF40E7A"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5D704005" w14:textId="77777777" w:rsidTr="00EA1EAE">
        <w:tc>
          <w:tcPr>
            <w:tcW w:w="950" w:type="pct"/>
            <w:shd w:val="clear" w:color="auto" w:fill="FFFFFF"/>
            <w:tcMar>
              <w:top w:w="30" w:type="dxa"/>
              <w:left w:w="30" w:type="dxa"/>
              <w:bottom w:w="30" w:type="dxa"/>
              <w:right w:w="30" w:type="dxa"/>
            </w:tcMar>
            <w:vAlign w:val="center"/>
            <w:hideMark/>
          </w:tcPr>
          <w:p w14:paraId="243219BF"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tc>
        <w:tc>
          <w:tcPr>
            <w:tcW w:w="3850" w:type="pct"/>
            <w:shd w:val="clear" w:color="auto" w:fill="FFFFFF"/>
            <w:tcMar>
              <w:top w:w="30" w:type="dxa"/>
              <w:left w:w="30" w:type="dxa"/>
              <w:bottom w:w="30" w:type="dxa"/>
              <w:right w:w="30" w:type="dxa"/>
            </w:tcMar>
            <w:vAlign w:val="center"/>
            <w:hideMark/>
          </w:tcPr>
          <w:p w14:paraId="31128277"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Attendance</w:t>
            </w:r>
          </w:p>
          <w:p w14:paraId="2E23CD0C"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Students are expected to </w:t>
            </w:r>
            <w:proofErr w:type="gramStart"/>
            <w:r w:rsidRPr="00EA1EAE">
              <w:rPr>
                <w:rFonts w:ascii="Lato" w:eastAsia="Times New Roman" w:hAnsi="Lato" w:cs="Times New Roman"/>
                <w:color w:val="2D3B45"/>
                <w:sz w:val="24"/>
                <w:szCs w:val="24"/>
              </w:rPr>
              <w:t>attend regularly</w:t>
            </w:r>
            <w:proofErr w:type="gramEnd"/>
            <w:r w:rsidRPr="00EA1EAE">
              <w:rPr>
                <w:rFonts w:ascii="Lato" w:eastAsia="Times New Roman" w:hAnsi="Lato" w:cs="Times New Roman"/>
                <w:color w:val="2D3B45"/>
                <w:sz w:val="24"/>
                <w:szCs w:val="24"/>
              </w:rPr>
              <w:t xml:space="preserve"> all courses for which they are registered. Students should notify their instructor when illness prevents them from attending class and </w:t>
            </w:r>
            <w:proofErr w:type="gramStart"/>
            <w:r w:rsidRPr="00EA1EAE">
              <w:rPr>
                <w:rFonts w:ascii="Lato" w:eastAsia="Times New Roman" w:hAnsi="Lato" w:cs="Times New Roman"/>
                <w:color w:val="2D3B45"/>
                <w:sz w:val="24"/>
                <w:szCs w:val="24"/>
              </w:rPr>
              <w:t>make arrangements</w:t>
            </w:r>
            <w:proofErr w:type="gramEnd"/>
            <w:r w:rsidRPr="00EA1EAE">
              <w:rPr>
                <w:rFonts w:ascii="Lato" w:eastAsia="Times New Roman" w:hAnsi="Lato" w:cs="Times New Roman"/>
                <w:color w:val="2D3B45"/>
                <w:sz w:val="24"/>
                <w:szCs w:val="24"/>
              </w:rPr>
              <w:t xml:space="preserve"> to complete missed assignments. Notification may be done by calling the instructor’s campus extension or the Psychology program office (735-4751 or 739-8393).  It is </w:t>
            </w:r>
            <w:r w:rsidRPr="00EA1EAE">
              <w:rPr>
                <w:rFonts w:ascii="Lato" w:eastAsia="Times New Roman" w:hAnsi="Lato" w:cs="Times New Roman"/>
                <w:color w:val="2D3B45"/>
                <w:sz w:val="24"/>
                <w:szCs w:val="24"/>
              </w:rPr>
              <w:lastRenderedPageBreak/>
              <w:t>the instructor’s prerogative to modify deadlines of course requirements accordingly. Any student who stops attending a course will receive a failing grade.</w:t>
            </w:r>
          </w:p>
          <w:p w14:paraId="2E7E1995"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14:paraId="36A822E6"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Academic Honesty</w:t>
            </w:r>
          </w:p>
          <w:p w14:paraId="6B4FAD1D"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6AB13063"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Students are responsible for promoting academic honesty at Chaminade by not participating in any act of dishonesty and by reporting any incidence of academic dishonesty to an instructor or to a </w:t>
            </w:r>
            <w:proofErr w:type="gramStart"/>
            <w:r w:rsidRPr="00EA1EAE">
              <w:rPr>
                <w:rFonts w:ascii="Lato" w:eastAsia="Times New Roman" w:hAnsi="Lato" w:cs="Times New Roman"/>
                <w:color w:val="2D3B45"/>
                <w:sz w:val="24"/>
                <w:szCs w:val="24"/>
              </w:rPr>
              <w:t>University</w:t>
            </w:r>
            <w:proofErr w:type="gramEnd"/>
            <w:r w:rsidRPr="00EA1EAE">
              <w:rPr>
                <w:rFonts w:ascii="Lato" w:eastAsia="Times New Roman" w:hAnsi="Lato" w:cs="Times New Roman"/>
                <w:color w:val="2D3B45"/>
                <w:sz w:val="24"/>
                <w:szCs w:val="24"/>
              </w:rPr>
              <w:t xml:space="preserve"> official. Academic dishonesty may include theft of records or examinations, alteration of grades, and plagiarism.</w:t>
            </w:r>
          </w:p>
          <w:p w14:paraId="2A9A33BD"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78BF911B"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Students with Disabilities</w:t>
            </w:r>
          </w:p>
          <w:p w14:paraId="682EA288"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EA1EAE">
              <w:rPr>
                <w:rFonts w:ascii="Lato" w:eastAsia="Times New Roman" w:hAnsi="Lato" w:cs="Times New Roman"/>
                <w:color w:val="2D3B45"/>
                <w:sz w:val="24"/>
                <w:szCs w:val="24"/>
              </w:rPr>
              <w:t>Kōkua</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ʻIke</w:t>
            </w:r>
            <w:proofErr w:type="spellEnd"/>
            <w:r w:rsidRPr="00EA1EAE">
              <w:rPr>
                <w:rFonts w:ascii="Lato" w:eastAsia="Times New Roman" w:hAnsi="Lato" w:cs="Times New Roman"/>
                <w:color w:val="2D3B45"/>
                <w:sz w:val="24"/>
                <w:szCs w:val="24"/>
              </w:rPr>
              <w:t xml:space="preserve">: Center for Student Learning by the end of week three of the class, </w:t>
            </w:r>
            <w:proofErr w:type="gramStart"/>
            <w:r w:rsidRPr="00EA1EAE">
              <w:rPr>
                <w:rFonts w:ascii="Lato" w:eastAsia="Times New Roman" w:hAnsi="Lato" w:cs="Times New Roman"/>
                <w:color w:val="2D3B45"/>
                <w:sz w:val="24"/>
                <w:szCs w:val="24"/>
              </w:rPr>
              <w:t>in order for</w:t>
            </w:r>
            <w:proofErr w:type="gramEnd"/>
            <w:r w:rsidRPr="00EA1EAE">
              <w:rPr>
                <w:rFonts w:ascii="Lato" w:eastAsia="Times New Roman" w:hAnsi="Lato" w:cs="Times New Roman"/>
                <w:color w:val="2D3B45"/>
                <w:sz w:val="24"/>
                <w:szCs w:val="24"/>
              </w:rPr>
              <w:t xml:space="preserve"> instructors to plan accordingly. If a student would like to determine if they meet the criteria for accommodations, they should contact the </w:t>
            </w:r>
            <w:proofErr w:type="spellStart"/>
            <w:r w:rsidRPr="00EA1EAE">
              <w:rPr>
                <w:rFonts w:ascii="Lato" w:eastAsia="Times New Roman" w:hAnsi="Lato" w:cs="Times New Roman"/>
                <w:color w:val="2D3B45"/>
                <w:sz w:val="24"/>
                <w:szCs w:val="24"/>
              </w:rPr>
              <w:t>Kōkua</w:t>
            </w:r>
            <w:proofErr w:type="spellEnd"/>
            <w:r w:rsidRPr="00EA1EAE">
              <w:rPr>
                <w:rFonts w:ascii="Lato" w:eastAsia="Times New Roman" w:hAnsi="Lato" w:cs="Times New Roman"/>
                <w:color w:val="2D3B45"/>
                <w:sz w:val="24"/>
                <w:szCs w:val="24"/>
              </w:rPr>
              <w:t xml:space="preserve"> </w:t>
            </w:r>
            <w:proofErr w:type="spellStart"/>
            <w:r w:rsidRPr="00EA1EAE">
              <w:rPr>
                <w:rFonts w:ascii="Lato" w:eastAsia="Times New Roman" w:hAnsi="Lato" w:cs="Times New Roman"/>
                <w:color w:val="2D3B45"/>
                <w:sz w:val="24"/>
                <w:szCs w:val="24"/>
              </w:rPr>
              <w:t>ʻIke</w:t>
            </w:r>
            <w:proofErr w:type="spellEnd"/>
            <w:r w:rsidRPr="00EA1EAE">
              <w:rPr>
                <w:rFonts w:ascii="Lato" w:eastAsia="Times New Roman" w:hAnsi="Lato" w:cs="Times New Roman"/>
                <w:color w:val="2D3B45"/>
                <w:sz w:val="24"/>
                <w:szCs w:val="24"/>
              </w:rPr>
              <w:t xml:space="preserve"> Coordinator at (808) 739-8305 for further information (ada@chaminade.edu).</w:t>
            </w:r>
          </w:p>
          <w:p w14:paraId="601E20A2" w14:textId="77777777" w:rsidR="00EA1EAE" w:rsidRPr="00EA1EAE" w:rsidRDefault="00EA1EAE" w:rsidP="00EA1EAE">
            <w:pPr>
              <w:shd w:val="clear" w:color="auto" w:fill="FFFFFF"/>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Title IX Compliance</w:t>
            </w:r>
          </w:p>
          <w:p w14:paraId="7ED6CFE6" w14:textId="77777777" w:rsidR="00EA1EAE" w:rsidRPr="00EA1EAE" w:rsidRDefault="00EA1EAE" w:rsidP="00EA1EAE">
            <w:pPr>
              <w:shd w:val="clear" w:color="auto" w:fill="FFFFFF"/>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lastRenderedPageBreak/>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11F29DB9" w14:textId="77777777" w:rsidR="00EA1EAE" w:rsidRPr="00EA1EAE" w:rsidRDefault="00EA1EAE" w:rsidP="00EA1EAE">
            <w:pPr>
              <w:shd w:val="clear" w:color="auto" w:fill="FFFFFF"/>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Credit Hour Policy</w:t>
            </w:r>
          </w:p>
          <w:p w14:paraId="23997CBA" w14:textId="77777777" w:rsidR="00EA1EAE" w:rsidRPr="00EA1EAE" w:rsidRDefault="00EA1EAE" w:rsidP="00EA1EAE">
            <w:pPr>
              <w:shd w:val="clear" w:color="auto" w:fill="FFFFFF"/>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37.5 hours of engagement.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w:t>
            </w:r>
          </w:p>
          <w:p w14:paraId="5252C017" w14:textId="77777777" w:rsidR="00EA1EAE" w:rsidRPr="00EA1EAE" w:rsidRDefault="00EA1EAE" w:rsidP="00EA1EAE">
            <w:pPr>
              <w:shd w:val="clear" w:color="auto" w:fill="FFFFFF"/>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EA1EAE">
              <w:rPr>
                <w:rFonts w:ascii="Lato" w:eastAsia="Times New Roman" w:hAnsi="Lato" w:cs="Times New Roman"/>
                <w:color w:val="2D3B45"/>
                <w:sz w:val="24"/>
                <w:szCs w:val="24"/>
              </w:rPr>
              <w:t>practica</w:t>
            </w:r>
            <w:proofErr w:type="spellEnd"/>
            <w:r w:rsidRPr="00EA1EAE">
              <w:rPr>
                <w:rFonts w:ascii="Lato" w:eastAsia="Times New Roman" w:hAnsi="Lato" w:cs="Times New Roman"/>
                <w:color w:val="2D3B45"/>
                <w:sz w:val="24"/>
                <w:szCs w:val="24"/>
              </w:rPr>
              <w:t>, studio work, and preparation of papers, presentations, or other forms of assessment. This policy is in accordance with federal regulations and regional accrediting agencies.</w:t>
            </w:r>
          </w:p>
          <w:p w14:paraId="4BA00800"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r w:rsidRPr="00EA1EAE">
              <w:rPr>
                <w:rFonts w:ascii="Lato" w:eastAsia="Times New Roman" w:hAnsi="Lato" w:cs="Times New Roman"/>
                <w:b/>
                <w:bCs/>
                <w:color w:val="2D3B45"/>
                <w:sz w:val="24"/>
                <w:szCs w:val="24"/>
              </w:rPr>
              <w:t>Self-Care Information</w:t>
            </w:r>
          </w:p>
          <w:p w14:paraId="555FB314"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Barnett, J. E. (2007). In pursuit of wellness:  The self-care imperative. Professional Psychology: Research and Practice, 2007, Vol. 38, No. 6, 603– 612.</w:t>
            </w:r>
          </w:p>
          <w:p w14:paraId="5365E041" w14:textId="77777777" w:rsidR="00EA1EAE" w:rsidRPr="00EA1EAE" w:rsidRDefault="00EA1EAE" w:rsidP="00EA1EAE">
            <w:pPr>
              <w:spacing w:before="180" w:after="180" w:line="240" w:lineRule="auto"/>
              <w:rPr>
                <w:rFonts w:ascii="Lato" w:eastAsia="Times New Roman" w:hAnsi="Lato" w:cs="Times New Roman"/>
                <w:color w:val="2D3B45"/>
                <w:sz w:val="24"/>
                <w:szCs w:val="24"/>
              </w:rPr>
            </w:pPr>
            <w:hyperlink r:id="rId8" w:history="1">
              <w:r w:rsidRPr="00EA1EAE">
                <w:rPr>
                  <w:rFonts w:ascii="Lato" w:eastAsia="Times New Roman" w:hAnsi="Lato" w:cs="Times New Roman"/>
                  <w:color w:val="0000FF"/>
                  <w:sz w:val="24"/>
                  <w:szCs w:val="24"/>
                  <w:u w:val="single"/>
                </w:rPr>
                <w:t>file:///C:/Users/0034826/Downloads/psychologists%20and%20self%20care.pdf</w:t>
              </w:r>
            </w:hyperlink>
          </w:p>
          <w:p w14:paraId="0658FD3A" w14:textId="77777777" w:rsidR="00EA1EAE" w:rsidRPr="00EA1EAE" w:rsidRDefault="00EA1EAE" w:rsidP="00EA1EAE">
            <w:pPr>
              <w:spacing w:before="180" w:after="180" w:line="240" w:lineRule="auto"/>
              <w:rPr>
                <w:rFonts w:ascii="Lato" w:eastAsia="Times New Roman" w:hAnsi="Lato" w:cs="Times New Roman"/>
                <w:color w:val="2D3B45"/>
                <w:sz w:val="24"/>
                <w:szCs w:val="24"/>
              </w:rPr>
            </w:pPr>
            <w:proofErr w:type="spellStart"/>
            <w:r w:rsidRPr="00EA1EAE">
              <w:rPr>
                <w:rFonts w:ascii="Lato" w:eastAsia="Times New Roman" w:hAnsi="Lato" w:cs="Times New Roman"/>
                <w:color w:val="2D3B45"/>
                <w:sz w:val="24"/>
                <w:szCs w:val="24"/>
              </w:rPr>
              <w:lastRenderedPageBreak/>
              <w:t>Posluns</w:t>
            </w:r>
            <w:proofErr w:type="spellEnd"/>
            <w:r w:rsidRPr="00EA1EAE">
              <w:rPr>
                <w:rFonts w:ascii="Lato" w:eastAsia="Times New Roman" w:hAnsi="Lato" w:cs="Times New Roman"/>
                <w:color w:val="2D3B45"/>
                <w:sz w:val="24"/>
                <w:szCs w:val="24"/>
              </w:rPr>
              <w:t xml:space="preserve">, K. &amp; Gall, T. L. (2019). Dear mental health </w:t>
            </w:r>
            <w:proofErr w:type="spellStart"/>
            <w:r w:rsidRPr="00EA1EAE">
              <w:rPr>
                <w:rFonts w:ascii="Lato" w:eastAsia="Times New Roman" w:hAnsi="Lato" w:cs="Times New Roman"/>
                <w:color w:val="2D3B45"/>
                <w:sz w:val="24"/>
                <w:szCs w:val="24"/>
              </w:rPr>
              <w:t>practioners</w:t>
            </w:r>
            <w:proofErr w:type="spellEnd"/>
            <w:r w:rsidRPr="00EA1EAE">
              <w:rPr>
                <w:rFonts w:ascii="Lato" w:eastAsia="Times New Roman" w:hAnsi="Lato" w:cs="Times New Roman"/>
                <w:color w:val="2D3B45"/>
                <w:sz w:val="24"/>
                <w:szCs w:val="24"/>
              </w:rPr>
              <w:t>, take care of yourselves: A literature review on self-care.  International Journal for the Advancement of Counselling (2020) 42:1–20.</w:t>
            </w:r>
          </w:p>
          <w:p w14:paraId="1EF744DB" w14:textId="77777777" w:rsidR="00EA1EAE" w:rsidRPr="00EA1EAE" w:rsidRDefault="00EA1EAE" w:rsidP="00EA1EAE">
            <w:pPr>
              <w:spacing w:after="0" w:line="240" w:lineRule="auto"/>
              <w:rPr>
                <w:rFonts w:ascii="Lato" w:eastAsia="Times New Roman" w:hAnsi="Lato" w:cs="Times New Roman"/>
                <w:color w:val="2D3B45"/>
                <w:sz w:val="24"/>
                <w:szCs w:val="24"/>
              </w:rPr>
            </w:pPr>
            <w:hyperlink r:id="rId9" w:anchor="search/Pamela.Silva-Patrinos%40chaminade.edu/FMfcgxwJXpPjlgLnFJfczJZBWldtFGKr?projector=1&amp;messagePartId=0.2" w:tgtFrame="_blank" w:history="1">
              <w:r w:rsidRPr="00EA1EAE">
                <w:rPr>
                  <w:rFonts w:ascii="Lato" w:eastAsia="Times New Roman" w:hAnsi="Lato" w:cs="Times New Roman"/>
                  <w:color w:val="0000FF"/>
                  <w:sz w:val="24"/>
                  <w:szCs w:val="24"/>
                  <w:u w:val="single"/>
                </w:rPr>
                <w:t>https://mail.google.com/mail/u/0/#search/Pamela.Silva-Patrinos%40chaminade.edu/FMfcgxwJXpPjlgLnFJfczJZBWldtFGKr?projector=1&amp;messagePartId=0.2</w:t>
              </w:r>
              <w:r w:rsidRPr="00EA1EAE">
                <w:rPr>
                  <w:rFonts w:ascii="Lato" w:eastAsia="Times New Roman" w:hAnsi="Lato" w:cs="Times New Roman"/>
                  <w:color w:val="0000FF"/>
                  <w:sz w:val="24"/>
                  <w:szCs w:val="24"/>
                  <w:u w:val="single"/>
                  <w:bdr w:val="none" w:sz="0" w:space="0" w:color="auto" w:frame="1"/>
                </w:rPr>
                <w:t> (Links to an external site.)</w:t>
              </w:r>
            </w:hyperlink>
          </w:p>
          <w:p w14:paraId="0F195489"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59CCD07A"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ACA Ethical guidelines for Self-Care and Self-Monitoring</w:t>
            </w:r>
          </w:p>
          <w:p w14:paraId="2166C7D1"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Given the 1) long-standing issue of problematic self-care and self-monitoring in the field of counseling, clinical psychology, and psychotherapy, 2) chronic stress demonstrated by many students in the current Covid-19 ever-changing, and uncertain environment, 3) fact that there appears there will be numerous stressed out clients as a result of the Covid 19 ever-changing, and uncertain environment, and 4) fact that the ACA requires self-care and self-monitoring as part of their ethical guidelines, all courses will include and address the following ACA guidelines in all of their syllabi.   These guidelines also apply to all faculty and staff teaching in the MSCP program.</w:t>
            </w:r>
          </w:p>
          <w:p w14:paraId="7F0C5B30"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18133E78"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ACA 2014 Code of Ethics</w:t>
            </w:r>
          </w:p>
          <w:p w14:paraId="35504927"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Section C:  Professional Responsibility</w:t>
            </w:r>
          </w:p>
          <w:p w14:paraId="6413228D"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Introduction</w:t>
            </w:r>
          </w:p>
          <w:p w14:paraId="4D215CB4"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counselors engage in self-care activities to maintain and promote their own emotional, physical, mental, and spiritual well-being to best meet their professional responsibilities.</w:t>
            </w:r>
          </w:p>
          <w:p w14:paraId="13EE4B4C"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  </w:t>
            </w:r>
          </w:p>
          <w:p w14:paraId="37CB5749"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C.2.g: Impairment</w:t>
            </w:r>
          </w:p>
          <w:p w14:paraId="0EE05999"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14:paraId="4FDA0066" w14:textId="77777777" w:rsidR="00EA1EAE" w:rsidRPr="00EA1EAE" w:rsidRDefault="00EA1EAE" w:rsidP="00EA1EAE">
            <w:pPr>
              <w:spacing w:after="0" w:line="240" w:lineRule="auto"/>
              <w:rPr>
                <w:rFonts w:ascii="Lato" w:eastAsia="Times New Roman" w:hAnsi="Lato" w:cs="Times New Roman"/>
                <w:color w:val="2D3B45"/>
                <w:sz w:val="24"/>
                <w:szCs w:val="24"/>
              </w:rPr>
            </w:pPr>
            <w:hyperlink r:id="rId10" w:tgtFrame="_blank" w:history="1">
              <w:r w:rsidRPr="00EA1EAE">
                <w:rPr>
                  <w:rFonts w:ascii="Lato" w:eastAsia="Times New Roman" w:hAnsi="Lato" w:cs="Times New Roman"/>
                  <w:color w:val="0000FF"/>
                  <w:sz w:val="24"/>
                  <w:szCs w:val="24"/>
                  <w:u w:val="single"/>
                </w:rPr>
                <w:t>https://www.counseling.org/Resources/aca-code-of-ethics.pdf</w:t>
              </w:r>
              <w:r w:rsidRPr="00EA1EAE">
                <w:rPr>
                  <w:rFonts w:ascii="Lato" w:eastAsia="Times New Roman" w:hAnsi="Lato" w:cs="Times New Roman"/>
                  <w:color w:val="0000FF"/>
                  <w:sz w:val="24"/>
                  <w:szCs w:val="24"/>
                  <w:u w:val="single"/>
                  <w:bdr w:val="none" w:sz="0" w:space="0" w:color="auto" w:frame="1"/>
                </w:rPr>
                <w:t> (Links to an external site.)</w:t>
              </w:r>
            </w:hyperlink>
          </w:p>
          <w:p w14:paraId="794E1D45"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44C5E690"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b/>
                <w:bCs/>
                <w:color w:val="2D3B45"/>
                <w:sz w:val="24"/>
                <w:szCs w:val="24"/>
              </w:rPr>
              <w:t>Course Calendar</w:t>
            </w:r>
            <w:r w:rsidRPr="00EA1EAE">
              <w:rPr>
                <w:rFonts w:ascii="Lato" w:eastAsia="Times New Roman" w:hAnsi="Lato" w:cs="Times New Roman"/>
                <w:color w:val="2D3B45"/>
                <w:sz w:val="24"/>
                <w:szCs w:val="24"/>
                <w:u w:val="single"/>
              </w:rPr>
              <w:t> </w:t>
            </w:r>
          </w:p>
          <w:p w14:paraId="772AFDF2"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It is very important that you manage your time effectively and submit assignments by the due dates that are outlined in the syllabus.  Generally, most assignments are due by Sunday night at midnight of the week that they are assigned.  No late assignments are accepted!  </w:t>
            </w:r>
          </w:p>
        </w:tc>
        <w:tc>
          <w:tcPr>
            <w:tcW w:w="100" w:type="pct"/>
            <w:shd w:val="clear" w:color="auto" w:fill="FFFFFF"/>
            <w:tcMar>
              <w:top w:w="30" w:type="dxa"/>
              <w:left w:w="30" w:type="dxa"/>
              <w:bottom w:w="30" w:type="dxa"/>
              <w:right w:w="30" w:type="dxa"/>
            </w:tcMar>
            <w:vAlign w:val="center"/>
            <w:hideMark/>
          </w:tcPr>
          <w:p w14:paraId="475D32BC" w14:textId="77777777" w:rsidR="00EA1EAE" w:rsidRPr="00EA1EAE" w:rsidRDefault="00EA1EAE" w:rsidP="00EA1EAE">
            <w:pPr>
              <w:spacing w:after="0" w:line="240" w:lineRule="auto"/>
              <w:rPr>
                <w:rFonts w:ascii="Lato" w:eastAsia="Times New Roman" w:hAnsi="Lato" w:cs="Times New Roman"/>
                <w:color w:val="2D3B45"/>
                <w:sz w:val="24"/>
                <w:szCs w:val="24"/>
              </w:rPr>
            </w:pPr>
          </w:p>
        </w:tc>
      </w:tr>
      <w:tr w:rsidR="00EA1EAE" w:rsidRPr="00EA1EAE" w14:paraId="71E0E02C" w14:textId="77777777" w:rsidTr="00EA1EAE">
        <w:tc>
          <w:tcPr>
            <w:tcW w:w="4900" w:type="pct"/>
            <w:gridSpan w:val="3"/>
            <w:shd w:val="clear" w:color="auto" w:fill="FFFFFF"/>
            <w:tcMar>
              <w:top w:w="30" w:type="dxa"/>
              <w:left w:w="30" w:type="dxa"/>
              <w:bottom w:w="30" w:type="dxa"/>
              <w:right w:w="30" w:type="dxa"/>
            </w:tcMar>
            <w:vAlign w:val="center"/>
            <w:hideMark/>
          </w:tcPr>
          <w:p w14:paraId="3654E4F8" w14:textId="77777777" w:rsidR="00EA1EAE" w:rsidRPr="00EA1EAE" w:rsidRDefault="00EA1EAE" w:rsidP="00EA1EAE">
            <w:pPr>
              <w:spacing w:after="0" w:line="240" w:lineRule="auto"/>
              <w:rPr>
                <w:rFonts w:ascii="Times New Roman" w:eastAsia="Times New Roman" w:hAnsi="Times New Roman" w:cs="Times New Roman"/>
                <w:sz w:val="20"/>
                <w:szCs w:val="20"/>
              </w:rPr>
            </w:pPr>
          </w:p>
        </w:tc>
      </w:tr>
      <w:tr w:rsidR="00EA1EAE" w:rsidRPr="00EA1EAE" w14:paraId="6A617D77" w14:textId="77777777" w:rsidTr="00EA1EAE">
        <w:tc>
          <w:tcPr>
            <w:tcW w:w="950" w:type="pct"/>
            <w:shd w:val="clear" w:color="auto" w:fill="FFFFFF"/>
            <w:tcMar>
              <w:top w:w="30" w:type="dxa"/>
              <w:left w:w="30" w:type="dxa"/>
              <w:bottom w:w="30" w:type="dxa"/>
              <w:right w:w="30" w:type="dxa"/>
            </w:tcMar>
            <w:vAlign w:val="center"/>
            <w:hideMark/>
          </w:tcPr>
          <w:p w14:paraId="5B04EF45"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tc>
        <w:tc>
          <w:tcPr>
            <w:tcW w:w="3850" w:type="pct"/>
            <w:shd w:val="clear" w:color="auto" w:fill="FFFFFF"/>
            <w:tcMar>
              <w:top w:w="30" w:type="dxa"/>
              <w:left w:w="30" w:type="dxa"/>
              <w:bottom w:w="30" w:type="dxa"/>
              <w:right w:w="30" w:type="dxa"/>
            </w:tcMar>
            <w:vAlign w:val="center"/>
            <w:hideMark/>
          </w:tcPr>
          <w:p w14:paraId="675C0A7F"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#1 – April 11 – What is Personality</w:t>
            </w:r>
          </w:p>
          <w:p w14:paraId="510BA192"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Read Chapter 1</w:t>
            </w:r>
          </w:p>
          <w:p w14:paraId="46424C69"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Take Chapter 1 quiz</w:t>
            </w:r>
          </w:p>
          <w:p w14:paraId="787A20F9"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Complete Activity #1 by April 17</w:t>
            </w:r>
          </w:p>
          <w:p w14:paraId="004FDF94"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Participate in Discussion 1</w:t>
            </w:r>
          </w:p>
          <w:p w14:paraId="1340F2A1"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3DA8D75E"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#2 – April 18 - Personality Research Methods</w:t>
            </w:r>
          </w:p>
          <w:p w14:paraId="115B00EE"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Read Chapter 2</w:t>
            </w:r>
          </w:p>
          <w:p w14:paraId="6B3F76F6"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Take Chapter 2 quiz</w:t>
            </w:r>
          </w:p>
          <w:p w14:paraId="7CC3A6A9"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Complete Activity #2 by April 24</w:t>
            </w:r>
          </w:p>
          <w:p w14:paraId="78DDA5CA"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Participate in Discussion 2</w:t>
            </w:r>
          </w:p>
          <w:p w14:paraId="6A2E3516"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09B76CD4"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#3 – April 25 – The Psychoanalytic Perspective I</w:t>
            </w:r>
          </w:p>
          <w:p w14:paraId="5CD6C0B4"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Read Chapters 3 &amp; 4</w:t>
            </w:r>
          </w:p>
          <w:p w14:paraId="35ABA25E"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Take Chapters 3 &amp; 4 quizzes</w:t>
            </w:r>
          </w:p>
          <w:p w14:paraId="1480B5FC"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Participate in Discussion 3</w:t>
            </w:r>
          </w:p>
          <w:p w14:paraId="28D2431D"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25657CB7"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#4 – May 2 – The Psychoanalytic Perspective II</w:t>
            </w:r>
          </w:p>
          <w:p w14:paraId="416E2F67"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Read Chapters 5 &amp; 6</w:t>
            </w:r>
          </w:p>
          <w:p w14:paraId="3B1D61BA"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Take Chapters 5 &amp; 6 quizzes</w:t>
            </w:r>
          </w:p>
          <w:p w14:paraId="713AF834"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lastRenderedPageBreak/>
              <w:t>Complete Activity #3 by May 8</w:t>
            </w:r>
          </w:p>
          <w:p w14:paraId="7E50E8B6"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Participate in Discussion 4</w:t>
            </w:r>
          </w:p>
          <w:p w14:paraId="00FC77D8"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708E5855"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#5 – May 9 – The Trait Perspective</w:t>
            </w:r>
          </w:p>
          <w:p w14:paraId="1FDF9DEF"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Read Chapters 7 &amp; 8</w:t>
            </w:r>
          </w:p>
          <w:p w14:paraId="60BA8BCD"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Take Chapters 7 &amp; 8 quizzes</w:t>
            </w:r>
          </w:p>
          <w:p w14:paraId="6F92173A"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Complete Activity #4 by May 15</w:t>
            </w:r>
          </w:p>
          <w:p w14:paraId="52921184"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Participate in Discussion 5</w:t>
            </w:r>
          </w:p>
          <w:p w14:paraId="48B6E220"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2B0DB20E"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#6 – May 16 – The Biological Perspective</w:t>
            </w:r>
          </w:p>
          <w:p w14:paraId="4774810D"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Read Chapters 9 &amp; 10</w:t>
            </w:r>
          </w:p>
          <w:p w14:paraId="5B87B1E1"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Take Chapters 9 &amp; 10 quizzes</w:t>
            </w:r>
          </w:p>
          <w:p w14:paraId="7FBFDCA0"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Complete Activity #5 by May 22</w:t>
            </w:r>
          </w:p>
          <w:p w14:paraId="7E7FE8CC"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Participate in Discussion 6</w:t>
            </w:r>
          </w:p>
          <w:p w14:paraId="0C12D1EC"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490C0F4B"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#7 – May 23 – The Humanistic Perspective</w:t>
            </w:r>
          </w:p>
          <w:p w14:paraId="6EB391CD"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Read Chapters 11 &amp; 12</w:t>
            </w:r>
          </w:p>
          <w:p w14:paraId="79ED5257"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Take Chapter 11 &amp; 12 quizzes</w:t>
            </w:r>
          </w:p>
          <w:p w14:paraId="207CD0F6"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Complete Activity #6 by May 29</w:t>
            </w:r>
          </w:p>
          <w:p w14:paraId="6F6942DC"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Participate in Discussion 7</w:t>
            </w:r>
          </w:p>
          <w:p w14:paraId="3436D56D"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36A698D4"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#8 – May 30 – The Behavioral Perspective</w:t>
            </w:r>
          </w:p>
          <w:p w14:paraId="3041DBE0"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Read Chapters 13 &amp; 14</w:t>
            </w:r>
          </w:p>
          <w:p w14:paraId="699CF890"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Take Chapter 13 &amp; 14 quizzes</w:t>
            </w:r>
          </w:p>
          <w:p w14:paraId="45F8A47F"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Complete Activity #7 by June 5</w:t>
            </w:r>
          </w:p>
          <w:p w14:paraId="6ECB8376"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Participate in Discussion 8</w:t>
            </w:r>
          </w:p>
          <w:p w14:paraId="107F3237"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7AB634A1"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lastRenderedPageBreak/>
              <w:t>#9 – June 6 – The Cognitive Perspective</w:t>
            </w:r>
          </w:p>
          <w:p w14:paraId="3B0DFDB9"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Read Chapters 15 &amp; 16</w:t>
            </w:r>
          </w:p>
          <w:p w14:paraId="22CB7827"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Take Chapter 15 &amp; 16 quizzes</w:t>
            </w:r>
          </w:p>
          <w:p w14:paraId="72CD30C1"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Complete Activity #8 by June 12</w:t>
            </w:r>
          </w:p>
          <w:p w14:paraId="44D44BFB"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Participate in Discussion 9</w:t>
            </w:r>
          </w:p>
          <w:p w14:paraId="1F73BD5E"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w:t>
            </w:r>
          </w:p>
          <w:p w14:paraId="3634892E"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 xml:space="preserve">#10 – June 13 – Complete and submit Theorist </w:t>
            </w:r>
            <w:proofErr w:type="spellStart"/>
            <w:r w:rsidRPr="00EA1EAE">
              <w:rPr>
                <w:rFonts w:ascii="Lato" w:eastAsia="Times New Roman" w:hAnsi="Lato" w:cs="Times New Roman"/>
                <w:color w:val="2D3B45"/>
                <w:sz w:val="24"/>
                <w:szCs w:val="24"/>
              </w:rPr>
              <w:t>Powerpoint</w:t>
            </w:r>
            <w:proofErr w:type="spellEnd"/>
            <w:r w:rsidRPr="00EA1EAE">
              <w:rPr>
                <w:rFonts w:ascii="Lato" w:eastAsia="Times New Roman" w:hAnsi="Lato" w:cs="Times New Roman"/>
                <w:color w:val="2D3B45"/>
                <w:sz w:val="24"/>
                <w:szCs w:val="24"/>
              </w:rPr>
              <w:t xml:space="preserve"> and Fact sheet by June 18</w:t>
            </w:r>
          </w:p>
          <w:p w14:paraId="187F6EDF"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Integrative Paper due Friday, June 17</w:t>
            </w:r>
          </w:p>
          <w:p w14:paraId="6BCD2D96" w14:textId="77777777" w:rsidR="00EA1EAE" w:rsidRPr="00EA1EAE" w:rsidRDefault="00EA1EAE" w:rsidP="00EA1EAE">
            <w:pPr>
              <w:spacing w:before="180" w:after="180" w:line="240" w:lineRule="auto"/>
              <w:rPr>
                <w:rFonts w:ascii="Lato" w:eastAsia="Times New Roman" w:hAnsi="Lato" w:cs="Times New Roman"/>
                <w:color w:val="2D3B45"/>
                <w:sz w:val="24"/>
                <w:szCs w:val="24"/>
              </w:rPr>
            </w:pPr>
            <w:r w:rsidRPr="00EA1EAE">
              <w:rPr>
                <w:rFonts w:ascii="Lato" w:eastAsia="Times New Roman" w:hAnsi="Lato" w:cs="Times New Roman"/>
                <w:color w:val="2D3B45"/>
                <w:sz w:val="24"/>
                <w:szCs w:val="24"/>
              </w:rPr>
              <w:t>Participate in Discussion 10</w:t>
            </w:r>
          </w:p>
        </w:tc>
        <w:tc>
          <w:tcPr>
            <w:tcW w:w="0" w:type="auto"/>
            <w:shd w:val="clear" w:color="auto" w:fill="FFFFFF"/>
            <w:vAlign w:val="center"/>
            <w:hideMark/>
          </w:tcPr>
          <w:p w14:paraId="395AC5C2" w14:textId="77777777" w:rsidR="00EA1EAE" w:rsidRPr="00EA1EAE" w:rsidRDefault="00EA1EAE" w:rsidP="00EA1EAE">
            <w:pPr>
              <w:spacing w:after="0" w:line="240" w:lineRule="auto"/>
              <w:rPr>
                <w:rFonts w:ascii="Times New Roman" w:eastAsia="Times New Roman" w:hAnsi="Times New Roman" w:cs="Times New Roman"/>
                <w:sz w:val="20"/>
                <w:szCs w:val="20"/>
              </w:rPr>
            </w:pPr>
          </w:p>
        </w:tc>
      </w:tr>
    </w:tbl>
    <w:p w14:paraId="385569A8" w14:textId="77777777" w:rsidR="00EA1EAE" w:rsidRDefault="00EA1EAE"/>
    <w:sectPr w:rsidR="00EA1E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982C35"/>
    <w:multiLevelType w:val="multilevel"/>
    <w:tmpl w:val="2C38E59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46F97957"/>
    <w:multiLevelType w:val="multilevel"/>
    <w:tmpl w:val="976EC4A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957761248">
    <w:abstractNumId w:val="0"/>
  </w:num>
  <w:num w:numId="2" w16cid:durableId="8110190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EAE"/>
    <w:rsid w:val="00EA1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B15BC"/>
  <w15:chartTrackingRefBased/>
  <w15:docId w15:val="{5BA1A331-A988-4095-83CB-F6AF1A97B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1EA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A1EAE"/>
    <w:rPr>
      <w:i/>
      <w:iCs/>
    </w:rPr>
  </w:style>
  <w:style w:type="character" w:styleId="Strong">
    <w:name w:val="Strong"/>
    <w:basedOn w:val="DefaultParagraphFont"/>
    <w:uiPriority w:val="22"/>
    <w:qFormat/>
    <w:rsid w:val="00EA1EAE"/>
    <w:rPr>
      <w:b/>
      <w:bCs/>
    </w:rPr>
  </w:style>
  <w:style w:type="character" w:styleId="Hyperlink">
    <w:name w:val="Hyperlink"/>
    <w:basedOn w:val="DefaultParagraphFont"/>
    <w:uiPriority w:val="99"/>
    <w:semiHidden/>
    <w:unhideWhenUsed/>
    <w:rsid w:val="00EA1EAE"/>
    <w:rPr>
      <w:color w:val="0000FF"/>
      <w:u w:val="single"/>
    </w:rPr>
  </w:style>
  <w:style w:type="character" w:customStyle="1" w:styleId="screenreader-only">
    <w:name w:val="screenreader-only"/>
    <w:basedOn w:val="DefaultParagraphFont"/>
    <w:rsid w:val="00EA1E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98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minade.instructure.com/Downloads/psychologists%20and%20self%20care.pdf" TargetMode="External"/><Relationship Id="rId3" Type="http://schemas.openxmlformats.org/officeDocument/2006/relationships/styles" Target="styles.xml"/><Relationship Id="rId7" Type="http://schemas.openxmlformats.org/officeDocument/2006/relationships/hyperlink" Target="http://www.rasmussen.edu/student-life/blogs/college-life/tips-for-writing-thoughtful-discussion-response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allpsych.com/researchmethods/replication.htm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ounseling.org/Resources/aca-code-of-ethics.pdf" TargetMode="External"/><Relationship Id="rId4" Type="http://schemas.openxmlformats.org/officeDocument/2006/relationships/settings" Target="settings.xml"/><Relationship Id="rId9" Type="http://schemas.openxmlformats.org/officeDocument/2006/relationships/hyperlink" Target="https://mail.google.com/mail/u/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8585F-9264-4D8D-AB61-DD043D700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3804</Words>
  <Characters>21689</Characters>
  <Application>Microsoft Office Word</Application>
  <DocSecurity>0</DocSecurity>
  <Lines>180</Lines>
  <Paragraphs>50</Paragraphs>
  <ScaleCrop>false</ScaleCrop>
  <Company/>
  <LinksUpToDate>false</LinksUpToDate>
  <CharactersWithSpaces>25443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Fryxell</dc:creator>
  <cp:keywords/>
  <dc:description/>
  <cp:lastModifiedBy>Dale Fryxell</cp:lastModifiedBy>
  <cp:revision>1</cp:revision>
  <dcterms:created xsi:type="dcterms:W3CDTF">2022-04-11T17:11:00Z</dcterms:created>
  <dcterms:modified xsi:type="dcterms:W3CDTF">2022-04-11T17:12:00Z</dcterms:modified>
</cp:coreProperties>
</file>