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3AA6333" w14:textId="77777777" w:rsidR="00FD5520" w:rsidRDefault="00FD5520">
      <w:pPr>
        <w:pStyle w:val="Heading1"/>
        <w:keepNext w:val="0"/>
        <w:keepLines w:val="0"/>
        <w:spacing w:before="0" w:after="0" w:line="240" w:lineRule="auto"/>
        <w:rPr>
          <w:rFonts w:ascii="Calibri" w:eastAsia="Calibri" w:hAnsi="Calibri" w:cs="Calibri"/>
          <w:b/>
          <w:color w:val="FF0000"/>
          <w:sz w:val="23"/>
          <w:szCs w:val="23"/>
        </w:rPr>
      </w:pPr>
    </w:p>
    <w:tbl>
      <w:tblPr>
        <w:tblStyle w:val="a2"/>
        <w:tblW w:w="9576" w:type="dxa"/>
        <w:tblLayout w:type="fixed"/>
        <w:tblLook w:val="0000" w:firstRow="0" w:lastRow="0" w:firstColumn="0" w:lastColumn="0" w:noHBand="0" w:noVBand="0"/>
      </w:tblPr>
      <w:tblGrid>
        <w:gridCol w:w="3708"/>
        <w:gridCol w:w="5868"/>
      </w:tblGrid>
      <w:tr w:rsidR="00FD5520" w14:paraId="738F88EC" w14:textId="77777777" w:rsidTr="0017166B">
        <w:trPr>
          <w:trHeight w:val="2420"/>
        </w:trPr>
        <w:tc>
          <w:tcPr>
            <w:tcW w:w="3708" w:type="dxa"/>
          </w:tcPr>
          <w:p w14:paraId="6AAC9522" w14:textId="77777777" w:rsidR="00FD5520" w:rsidRPr="00C331A9" w:rsidRDefault="000022E4">
            <w:r w:rsidRPr="00C331A9">
              <w:rPr>
                <w:noProof/>
              </w:rPr>
              <w:drawing>
                <wp:inline distT="114300" distB="114300" distL="114300" distR="114300" wp14:anchorId="07FBC7A1" wp14:editId="61263298">
                  <wp:extent cx="1881188" cy="153701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537019"/>
                          </a:xfrm>
                          <a:prstGeom prst="rect">
                            <a:avLst/>
                          </a:prstGeom>
                          <a:ln/>
                        </pic:spPr>
                      </pic:pic>
                    </a:graphicData>
                  </a:graphic>
                </wp:inline>
              </w:drawing>
            </w:r>
          </w:p>
        </w:tc>
        <w:tc>
          <w:tcPr>
            <w:tcW w:w="5868" w:type="dxa"/>
          </w:tcPr>
          <w:p w14:paraId="79E2320F" w14:textId="77777777" w:rsidR="00FD5520" w:rsidRPr="00C331A9" w:rsidRDefault="000022E4">
            <w:pPr>
              <w:widowControl/>
              <w:pBdr>
                <w:top w:val="nil"/>
                <w:left w:val="nil"/>
                <w:bottom w:val="nil"/>
                <w:right w:val="nil"/>
                <w:between w:val="nil"/>
              </w:pBdr>
              <w:rPr>
                <w:rFonts w:ascii="Arial" w:eastAsia="Arial" w:hAnsi="Arial" w:cs="Arial"/>
                <w:color w:val="000000"/>
              </w:rPr>
            </w:pPr>
            <w:r w:rsidRPr="00C331A9">
              <w:rPr>
                <w:rFonts w:ascii="Arial" w:eastAsia="Arial" w:hAnsi="Arial" w:cs="Arial"/>
                <w:color w:val="000000"/>
              </w:rPr>
              <w:t>HAWAI`I SCHOOL OF PROFESSIONAL PSYCHOLOGY</w:t>
            </w:r>
          </w:p>
          <w:p w14:paraId="75A75B30" w14:textId="77777777" w:rsidR="00FD5520" w:rsidRPr="00C331A9" w:rsidRDefault="000022E4">
            <w:pPr>
              <w:widowControl/>
              <w:pBdr>
                <w:top w:val="nil"/>
                <w:left w:val="nil"/>
                <w:bottom w:val="nil"/>
                <w:right w:val="nil"/>
                <w:between w:val="nil"/>
              </w:pBdr>
              <w:rPr>
                <w:rFonts w:ascii="Arial" w:eastAsia="Arial" w:hAnsi="Arial" w:cs="Arial"/>
                <w:color w:val="000000"/>
                <w:sz w:val="16"/>
                <w:szCs w:val="16"/>
              </w:rPr>
            </w:pPr>
            <w:r w:rsidRPr="00C331A9">
              <w:rPr>
                <w:rFonts w:ascii="Arial" w:eastAsia="Arial" w:hAnsi="Arial" w:cs="Arial"/>
                <w:color w:val="000000"/>
                <w:sz w:val="16"/>
                <w:szCs w:val="16"/>
              </w:rPr>
              <w:t>AT CHAMINADE UNIVERSITY OF HONOLULU</w:t>
            </w:r>
          </w:p>
          <w:p w14:paraId="30623673" w14:textId="77777777" w:rsidR="00FD5520" w:rsidRPr="00C331A9" w:rsidRDefault="00FD5520">
            <w:pPr>
              <w:rPr>
                <w:b/>
                <w:sz w:val="26"/>
                <w:szCs w:val="26"/>
              </w:rPr>
            </w:pPr>
          </w:p>
          <w:p w14:paraId="42CFB6EA" w14:textId="77777777" w:rsidR="00FD5520" w:rsidRPr="0017166B" w:rsidRDefault="000022E4">
            <w:pPr>
              <w:rPr>
                <w:rFonts w:asciiTheme="majorHAnsi" w:hAnsiTheme="majorHAnsi" w:cstheme="majorHAnsi"/>
                <w:sz w:val="22"/>
                <w:szCs w:val="22"/>
              </w:rPr>
            </w:pPr>
            <w:r w:rsidRPr="0017166B">
              <w:rPr>
                <w:rFonts w:asciiTheme="majorHAnsi" w:hAnsiTheme="majorHAnsi" w:cstheme="majorHAnsi"/>
                <w:b/>
                <w:sz w:val="22"/>
                <w:szCs w:val="22"/>
              </w:rPr>
              <w:t>Course Syllabus</w:t>
            </w:r>
          </w:p>
          <w:p w14:paraId="35A90062" w14:textId="77777777" w:rsidR="00FD5520" w:rsidRPr="0017166B" w:rsidRDefault="00EF1F90">
            <w:pPr>
              <w:rPr>
                <w:rFonts w:asciiTheme="majorHAnsi" w:hAnsiTheme="majorHAnsi" w:cstheme="majorHAnsi"/>
                <w:color w:val="1A1A1A"/>
                <w:sz w:val="22"/>
                <w:szCs w:val="22"/>
              </w:rPr>
            </w:pPr>
            <w:hyperlink r:id="rId9">
              <w:r w:rsidR="000022E4" w:rsidRPr="0017166B">
                <w:rPr>
                  <w:rFonts w:asciiTheme="majorHAnsi" w:hAnsiTheme="majorHAnsi" w:cstheme="majorHAnsi"/>
                  <w:color w:val="0000FF"/>
                  <w:sz w:val="22"/>
                  <w:szCs w:val="22"/>
                  <w:u w:val="single"/>
                </w:rPr>
                <w:t>Chaminade University Honolulu</w:t>
              </w:r>
            </w:hyperlink>
          </w:p>
          <w:p w14:paraId="2F806D1E" w14:textId="77777777" w:rsidR="00FD5520" w:rsidRPr="0017166B" w:rsidRDefault="000022E4">
            <w:pPr>
              <w:rPr>
                <w:rFonts w:asciiTheme="majorHAnsi" w:hAnsiTheme="majorHAnsi" w:cstheme="majorHAnsi"/>
                <w:color w:val="1A1A1A"/>
                <w:sz w:val="22"/>
                <w:szCs w:val="22"/>
              </w:rPr>
            </w:pPr>
            <w:r w:rsidRPr="0017166B">
              <w:rPr>
                <w:rFonts w:asciiTheme="majorHAnsi" w:hAnsiTheme="majorHAnsi" w:cstheme="majorHAnsi"/>
                <w:color w:val="1A1A1A"/>
                <w:sz w:val="22"/>
                <w:szCs w:val="22"/>
              </w:rPr>
              <w:t>3140 Wai‘alae Avenue - Honolulu, HI 96816</w:t>
            </w:r>
          </w:p>
          <w:p w14:paraId="6CE6F69B" w14:textId="77777777" w:rsidR="00FD5520" w:rsidRPr="00C331A9" w:rsidRDefault="00EF1F90">
            <w:hyperlink r:id="rId10">
              <w:r w:rsidR="000022E4" w:rsidRPr="0017166B">
                <w:rPr>
                  <w:rFonts w:asciiTheme="majorHAnsi" w:hAnsiTheme="majorHAnsi" w:cstheme="majorHAnsi"/>
                  <w:color w:val="0000FF"/>
                  <w:sz w:val="22"/>
                  <w:szCs w:val="22"/>
                  <w:u w:val="single"/>
                </w:rPr>
                <w:t>www.chaminade.edu</w:t>
              </w:r>
            </w:hyperlink>
            <w:r w:rsidR="000022E4" w:rsidRPr="00C331A9">
              <w:rPr>
                <w:color w:val="1A1A1A"/>
                <w:sz w:val="26"/>
                <w:szCs w:val="26"/>
              </w:rPr>
              <w:t xml:space="preserve"> </w:t>
            </w:r>
          </w:p>
        </w:tc>
      </w:tr>
    </w:tbl>
    <w:p w14:paraId="34FF6157" w14:textId="77777777" w:rsidR="002609E9" w:rsidRDefault="002609E9">
      <w:pPr>
        <w:rPr>
          <w:rFonts w:ascii="Calibri" w:eastAsia="Calibri" w:hAnsi="Calibri" w:cs="Calibri"/>
          <w:b/>
          <w:sz w:val="22"/>
          <w:szCs w:val="22"/>
        </w:rPr>
      </w:pPr>
    </w:p>
    <w:p w14:paraId="54B5D96B" w14:textId="07F74ADB"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Course Number</w:t>
      </w:r>
      <w:r w:rsidRPr="0071045B">
        <w:rPr>
          <w:rFonts w:ascii="Calibri" w:eastAsia="Calibri" w:hAnsi="Calibri" w:cs="Calibri"/>
          <w:sz w:val="22"/>
          <w:szCs w:val="22"/>
        </w:rPr>
        <w:t>: PP8950</w:t>
      </w:r>
    </w:p>
    <w:p w14:paraId="5F62ADBE" w14:textId="77777777"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Course Title</w:t>
      </w:r>
      <w:r w:rsidRPr="0071045B">
        <w:rPr>
          <w:rFonts w:ascii="Calibri" w:eastAsia="Calibri" w:hAnsi="Calibri" w:cs="Calibri"/>
          <w:sz w:val="22"/>
          <w:szCs w:val="22"/>
        </w:rPr>
        <w:t>: Special Populations in Clinical Psychology</w:t>
      </w:r>
    </w:p>
    <w:p w14:paraId="67B043FD" w14:textId="77777777"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Department Name</w:t>
      </w:r>
      <w:r w:rsidRPr="0071045B">
        <w:rPr>
          <w:rFonts w:ascii="Calibri" w:eastAsia="Calibri" w:hAnsi="Calibri" w:cs="Calibri"/>
          <w:sz w:val="22"/>
          <w:szCs w:val="22"/>
        </w:rPr>
        <w:t>: Hawaiʻi School of Professional Psychology</w:t>
      </w:r>
    </w:p>
    <w:p w14:paraId="702D2550" w14:textId="77777777"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College/School/Division Name</w:t>
      </w:r>
      <w:r w:rsidRPr="0071045B">
        <w:rPr>
          <w:rFonts w:ascii="Calibri" w:eastAsia="Calibri" w:hAnsi="Calibri" w:cs="Calibri"/>
          <w:sz w:val="22"/>
          <w:szCs w:val="22"/>
        </w:rPr>
        <w:t>: College of Education and Behavioral Sciences</w:t>
      </w:r>
    </w:p>
    <w:p w14:paraId="0EFD5731" w14:textId="77777777"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Term</w:t>
      </w:r>
      <w:r w:rsidRPr="0071045B">
        <w:rPr>
          <w:rFonts w:ascii="Calibri" w:eastAsia="Calibri" w:hAnsi="Calibri" w:cs="Calibri"/>
          <w:sz w:val="22"/>
          <w:szCs w:val="22"/>
        </w:rPr>
        <w:t>: Spring 2021</w:t>
      </w:r>
    </w:p>
    <w:p w14:paraId="2806A049" w14:textId="77777777"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Course Credits</w:t>
      </w:r>
      <w:r w:rsidRPr="0071045B">
        <w:rPr>
          <w:rFonts w:ascii="Calibri" w:eastAsia="Calibri" w:hAnsi="Calibri" w:cs="Calibri"/>
          <w:sz w:val="22"/>
          <w:szCs w:val="22"/>
        </w:rPr>
        <w:t>: 03</w:t>
      </w:r>
    </w:p>
    <w:p w14:paraId="213FCDD0" w14:textId="77777777"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Class Meeting Days</w:t>
      </w:r>
      <w:r w:rsidRPr="0071045B">
        <w:rPr>
          <w:rFonts w:ascii="Calibri" w:eastAsia="Calibri" w:hAnsi="Calibri" w:cs="Calibri"/>
          <w:sz w:val="22"/>
          <w:szCs w:val="22"/>
        </w:rPr>
        <w:t>:  Tuesdays</w:t>
      </w:r>
    </w:p>
    <w:p w14:paraId="27C76E5E" w14:textId="77777777"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Class Meeting Hours</w:t>
      </w:r>
      <w:r w:rsidRPr="0071045B">
        <w:rPr>
          <w:rFonts w:ascii="Calibri" w:eastAsia="Calibri" w:hAnsi="Calibri" w:cs="Calibri"/>
          <w:sz w:val="22"/>
          <w:szCs w:val="22"/>
        </w:rPr>
        <w:t>:  8:30am - 11:30am</w:t>
      </w:r>
    </w:p>
    <w:p w14:paraId="28E1E2C4" w14:textId="176E1534" w:rsidR="00FD5520" w:rsidRPr="0071045B" w:rsidRDefault="000022E4">
      <w:pPr>
        <w:rPr>
          <w:rFonts w:ascii="Calibri" w:eastAsia="Calibri" w:hAnsi="Calibri" w:cs="Calibri"/>
          <w:sz w:val="22"/>
          <w:szCs w:val="22"/>
        </w:rPr>
      </w:pPr>
      <w:r w:rsidRPr="0071045B">
        <w:rPr>
          <w:rFonts w:ascii="Calibri" w:eastAsia="Calibri" w:hAnsi="Calibri" w:cs="Calibri"/>
          <w:b/>
          <w:sz w:val="22"/>
          <w:szCs w:val="22"/>
        </w:rPr>
        <w:t>Class Location</w:t>
      </w:r>
      <w:r w:rsidRPr="0071045B">
        <w:rPr>
          <w:rFonts w:ascii="Calibri" w:eastAsia="Calibri" w:hAnsi="Calibri" w:cs="Calibri"/>
          <w:sz w:val="22"/>
          <w:szCs w:val="22"/>
        </w:rPr>
        <w:t xml:space="preserve">: </w:t>
      </w:r>
      <w:proofErr w:type="spellStart"/>
      <w:r w:rsidR="0017166B">
        <w:rPr>
          <w:rFonts w:ascii="Calibri" w:eastAsia="Calibri" w:hAnsi="Calibri" w:cs="Calibri"/>
          <w:sz w:val="22"/>
          <w:szCs w:val="22"/>
        </w:rPr>
        <w:t>Eiben</w:t>
      </w:r>
      <w:proofErr w:type="spellEnd"/>
      <w:r w:rsidR="0017166B">
        <w:rPr>
          <w:rFonts w:ascii="Calibri" w:eastAsia="Calibri" w:hAnsi="Calibri" w:cs="Calibri"/>
          <w:sz w:val="22"/>
          <w:szCs w:val="22"/>
        </w:rPr>
        <w:t xml:space="preserve"> Hall 102</w:t>
      </w:r>
    </w:p>
    <w:p w14:paraId="7CC55224" w14:textId="77777777" w:rsidR="00FD5520" w:rsidRPr="00C331A9" w:rsidRDefault="00FD5520">
      <w:pPr>
        <w:rPr>
          <w:rFonts w:ascii="Calibri" w:eastAsia="Calibri" w:hAnsi="Calibri" w:cs="Calibri"/>
        </w:rPr>
      </w:pPr>
    </w:p>
    <w:p w14:paraId="38ED2038" w14:textId="77777777" w:rsidR="00FD5520" w:rsidRPr="0071045B" w:rsidRDefault="000022E4">
      <w:pPr>
        <w:rPr>
          <w:rFonts w:asciiTheme="majorHAnsi" w:eastAsia="Calibri" w:hAnsiTheme="majorHAnsi" w:cstheme="majorHAnsi"/>
          <w:sz w:val="22"/>
          <w:szCs w:val="22"/>
        </w:rPr>
      </w:pPr>
      <w:bookmarkStart w:id="0" w:name="_heading=h.gjdgxs" w:colFirst="0" w:colLast="0"/>
      <w:bookmarkEnd w:id="0"/>
      <w:r w:rsidRPr="0071045B">
        <w:rPr>
          <w:rFonts w:asciiTheme="majorHAnsi" w:eastAsia="Calibri" w:hAnsiTheme="majorHAnsi" w:cstheme="majorHAnsi"/>
          <w:b/>
          <w:sz w:val="22"/>
          <w:szCs w:val="22"/>
        </w:rPr>
        <w:t>Instructor Name</w:t>
      </w:r>
      <w:r w:rsidRPr="0071045B">
        <w:rPr>
          <w:rFonts w:asciiTheme="majorHAnsi" w:eastAsia="Calibri" w:hAnsiTheme="majorHAnsi" w:cstheme="majorHAnsi"/>
          <w:sz w:val="22"/>
          <w:szCs w:val="22"/>
        </w:rPr>
        <w:t>: Jeffrey D. Stern, PhD</w:t>
      </w:r>
    </w:p>
    <w:p w14:paraId="7BF9E8F8" w14:textId="77777777" w:rsidR="00FD5520" w:rsidRPr="0071045B" w:rsidRDefault="000022E4">
      <w:pPr>
        <w:rPr>
          <w:rFonts w:asciiTheme="majorHAnsi" w:eastAsia="Calibri" w:hAnsiTheme="majorHAnsi" w:cstheme="majorHAnsi"/>
          <w:sz w:val="22"/>
          <w:szCs w:val="22"/>
        </w:rPr>
      </w:pPr>
      <w:r w:rsidRPr="0071045B">
        <w:rPr>
          <w:rFonts w:asciiTheme="majorHAnsi" w:eastAsia="Calibri" w:hAnsiTheme="majorHAnsi" w:cstheme="majorHAnsi"/>
          <w:b/>
          <w:sz w:val="22"/>
          <w:szCs w:val="22"/>
        </w:rPr>
        <w:t>Email</w:t>
      </w:r>
      <w:r w:rsidRPr="0071045B">
        <w:rPr>
          <w:rFonts w:asciiTheme="majorHAnsi" w:eastAsia="Calibri" w:hAnsiTheme="majorHAnsi" w:cstheme="majorHAnsi"/>
          <w:sz w:val="22"/>
          <w:szCs w:val="22"/>
        </w:rPr>
        <w:t>: jeffrey.stern@chaminade.edu</w:t>
      </w:r>
    </w:p>
    <w:p w14:paraId="3D6B7020" w14:textId="77777777" w:rsidR="00FD5520" w:rsidRPr="0071045B" w:rsidRDefault="000022E4">
      <w:pPr>
        <w:rPr>
          <w:rFonts w:asciiTheme="majorHAnsi" w:eastAsia="Calibri" w:hAnsiTheme="majorHAnsi" w:cstheme="majorHAnsi"/>
          <w:sz w:val="22"/>
          <w:szCs w:val="22"/>
        </w:rPr>
      </w:pPr>
      <w:r w:rsidRPr="0071045B">
        <w:rPr>
          <w:rFonts w:asciiTheme="majorHAnsi" w:eastAsia="Calibri" w:hAnsiTheme="majorHAnsi" w:cstheme="majorHAnsi"/>
          <w:b/>
          <w:sz w:val="22"/>
          <w:szCs w:val="22"/>
        </w:rPr>
        <w:t>Phone</w:t>
      </w:r>
      <w:r w:rsidRPr="0071045B">
        <w:rPr>
          <w:rFonts w:asciiTheme="majorHAnsi" w:eastAsia="Calibri" w:hAnsiTheme="majorHAnsi" w:cstheme="majorHAnsi"/>
          <w:sz w:val="22"/>
          <w:szCs w:val="22"/>
        </w:rPr>
        <w:t>: 808.739.7427</w:t>
      </w:r>
    </w:p>
    <w:p w14:paraId="5DB9432E" w14:textId="77777777" w:rsidR="00FD5520" w:rsidRPr="0071045B" w:rsidRDefault="000022E4">
      <w:pPr>
        <w:rPr>
          <w:rFonts w:asciiTheme="majorHAnsi" w:eastAsia="Calibri" w:hAnsiTheme="majorHAnsi" w:cstheme="majorHAnsi"/>
          <w:sz w:val="22"/>
          <w:szCs w:val="22"/>
        </w:rPr>
      </w:pPr>
      <w:r w:rsidRPr="0071045B">
        <w:rPr>
          <w:rFonts w:asciiTheme="majorHAnsi" w:eastAsia="Calibri" w:hAnsiTheme="majorHAnsi" w:cstheme="majorHAnsi"/>
          <w:b/>
          <w:sz w:val="22"/>
          <w:szCs w:val="22"/>
        </w:rPr>
        <w:t>Office Location</w:t>
      </w:r>
      <w:r w:rsidRPr="0071045B">
        <w:rPr>
          <w:rFonts w:asciiTheme="majorHAnsi" w:eastAsia="Calibri" w:hAnsiTheme="majorHAnsi" w:cstheme="majorHAnsi"/>
          <w:sz w:val="22"/>
          <w:szCs w:val="22"/>
        </w:rPr>
        <w:t>: Behavioral Sciences, Rm. 115</w:t>
      </w:r>
    </w:p>
    <w:p w14:paraId="27532776" w14:textId="2CAC964B" w:rsidR="00FD5520" w:rsidRPr="0071045B" w:rsidRDefault="000022E4">
      <w:pPr>
        <w:ind w:left="720" w:hanging="720"/>
        <w:rPr>
          <w:rFonts w:asciiTheme="majorHAnsi" w:eastAsia="Calibri" w:hAnsiTheme="majorHAnsi" w:cstheme="majorHAnsi"/>
          <w:sz w:val="22"/>
          <w:szCs w:val="22"/>
        </w:rPr>
      </w:pPr>
      <w:r w:rsidRPr="0071045B">
        <w:rPr>
          <w:rFonts w:asciiTheme="majorHAnsi" w:eastAsia="Calibri" w:hAnsiTheme="majorHAnsi" w:cstheme="majorHAnsi"/>
          <w:b/>
          <w:sz w:val="22"/>
          <w:szCs w:val="22"/>
        </w:rPr>
        <w:t>Office Hours</w:t>
      </w:r>
      <w:r w:rsidRPr="0071045B">
        <w:rPr>
          <w:rFonts w:asciiTheme="majorHAnsi" w:eastAsia="Calibri" w:hAnsiTheme="majorHAnsi" w:cstheme="majorHAnsi"/>
          <w:sz w:val="22"/>
          <w:szCs w:val="22"/>
        </w:rPr>
        <w:t>: Mondays: 9:00-1</w:t>
      </w:r>
      <w:r w:rsidR="00C331A9" w:rsidRPr="0071045B">
        <w:rPr>
          <w:rFonts w:asciiTheme="majorHAnsi" w:eastAsia="Calibri" w:hAnsiTheme="majorHAnsi" w:cstheme="majorHAnsi"/>
          <w:sz w:val="22"/>
          <w:szCs w:val="22"/>
          <w:lang w:val="haw-US"/>
        </w:rPr>
        <w:t>1</w:t>
      </w:r>
      <w:r w:rsidRPr="0071045B">
        <w:rPr>
          <w:rFonts w:asciiTheme="majorHAnsi" w:eastAsia="Calibri" w:hAnsiTheme="majorHAnsi" w:cstheme="majorHAnsi"/>
          <w:sz w:val="22"/>
          <w:szCs w:val="22"/>
        </w:rPr>
        <w:t>:00</w:t>
      </w:r>
      <w:r w:rsidR="00C331A9" w:rsidRPr="0071045B">
        <w:rPr>
          <w:rFonts w:asciiTheme="majorHAnsi" w:eastAsia="Calibri" w:hAnsiTheme="majorHAnsi" w:cstheme="majorHAnsi"/>
          <w:sz w:val="22"/>
          <w:szCs w:val="22"/>
          <w:lang w:val="haw-US"/>
        </w:rPr>
        <w:t xml:space="preserve">, 2:00-4:00; </w:t>
      </w:r>
      <w:r w:rsidRPr="0071045B">
        <w:rPr>
          <w:rFonts w:asciiTheme="majorHAnsi" w:eastAsia="Calibri" w:hAnsiTheme="majorHAnsi" w:cstheme="majorHAnsi"/>
          <w:sz w:val="22"/>
          <w:szCs w:val="22"/>
        </w:rPr>
        <w:t>Wednesdays</w:t>
      </w:r>
      <w:r w:rsidR="00C331A9" w:rsidRPr="0071045B">
        <w:rPr>
          <w:rFonts w:asciiTheme="majorHAnsi" w:eastAsia="Calibri" w:hAnsiTheme="majorHAnsi" w:cstheme="majorHAnsi"/>
          <w:sz w:val="22"/>
          <w:szCs w:val="22"/>
          <w:lang w:val="haw-US"/>
        </w:rPr>
        <w:t>: 9:00-11:00; Thursdays:</w:t>
      </w:r>
      <w:r w:rsidRPr="0071045B">
        <w:rPr>
          <w:rFonts w:asciiTheme="majorHAnsi" w:eastAsia="Calibri" w:hAnsiTheme="majorHAnsi" w:cstheme="majorHAnsi"/>
          <w:sz w:val="22"/>
          <w:szCs w:val="22"/>
        </w:rPr>
        <w:t xml:space="preserve"> by appointment</w:t>
      </w:r>
    </w:p>
    <w:p w14:paraId="3C1D94FC" w14:textId="77777777" w:rsidR="00FD5520" w:rsidRPr="0071045B" w:rsidRDefault="00FD5520">
      <w:pPr>
        <w:pBdr>
          <w:top w:val="nil"/>
          <w:left w:val="nil"/>
          <w:bottom w:val="nil"/>
          <w:right w:val="nil"/>
          <w:between w:val="nil"/>
        </w:pBdr>
        <w:rPr>
          <w:rFonts w:asciiTheme="majorHAnsi" w:eastAsia="Calibri" w:hAnsiTheme="majorHAnsi" w:cstheme="majorHAnsi"/>
          <w:b/>
          <w:color w:val="000000"/>
          <w:sz w:val="22"/>
          <w:szCs w:val="22"/>
          <w:highlight w:val="yellow"/>
        </w:rPr>
      </w:pPr>
    </w:p>
    <w:p w14:paraId="55E96D73" w14:textId="6997D6EB" w:rsidR="00FD5520" w:rsidRPr="0071045B" w:rsidRDefault="000022E4">
      <w:pPr>
        <w:pBdr>
          <w:top w:val="nil"/>
          <w:left w:val="nil"/>
          <w:bottom w:val="nil"/>
          <w:right w:val="nil"/>
          <w:between w:val="nil"/>
        </w:pBdr>
        <w:rPr>
          <w:rFonts w:asciiTheme="majorHAnsi" w:eastAsia="Calibri" w:hAnsiTheme="majorHAnsi" w:cstheme="majorHAnsi"/>
          <w:b/>
          <w:color w:val="000000"/>
          <w:sz w:val="22"/>
          <w:szCs w:val="22"/>
        </w:rPr>
      </w:pPr>
      <w:r w:rsidRPr="0071045B">
        <w:rPr>
          <w:rFonts w:asciiTheme="majorHAnsi" w:eastAsia="Calibri" w:hAnsiTheme="majorHAnsi" w:cstheme="majorHAnsi"/>
          <w:b/>
          <w:color w:val="000000"/>
          <w:sz w:val="22"/>
          <w:szCs w:val="22"/>
        </w:rPr>
        <w:t xml:space="preserve">University Course Catalog Description and Overview </w:t>
      </w:r>
    </w:p>
    <w:p w14:paraId="7718AFD0" w14:textId="2546038B" w:rsidR="00FD5520" w:rsidRPr="0071045B" w:rsidRDefault="000022E4">
      <w:pPr>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"Special populations in clinical psychology," </w:t>
      </w:r>
      <w:r w:rsidR="00C331A9" w:rsidRPr="0071045B">
        <w:rPr>
          <w:rFonts w:asciiTheme="majorHAnsi" w:eastAsia="Calibri" w:hAnsiTheme="majorHAnsi" w:cstheme="majorHAnsi"/>
          <w:sz w:val="22"/>
          <w:szCs w:val="22"/>
          <w:lang w:val="haw-US"/>
        </w:rPr>
        <w:t xml:space="preserve">are, for the purpose of this course, </w:t>
      </w:r>
      <w:r w:rsidR="0017166B" w:rsidRPr="0071045B">
        <w:rPr>
          <w:rFonts w:asciiTheme="majorHAnsi" w:eastAsia="Calibri" w:hAnsiTheme="majorHAnsi" w:cstheme="majorHAnsi"/>
          <w:sz w:val="22"/>
          <w:szCs w:val="22"/>
        </w:rPr>
        <w:t>defined</w:t>
      </w:r>
      <w:r w:rsidRPr="0071045B">
        <w:rPr>
          <w:rFonts w:asciiTheme="majorHAnsi" w:eastAsia="Calibri" w:hAnsiTheme="majorHAnsi" w:cstheme="majorHAnsi"/>
          <w:sz w:val="22"/>
          <w:szCs w:val="22"/>
        </w:rPr>
        <w:t xml:space="preserve"> as </w:t>
      </w:r>
      <w:r w:rsidR="00C331A9" w:rsidRPr="0071045B">
        <w:rPr>
          <w:rFonts w:asciiTheme="majorHAnsi" w:eastAsia="Calibri" w:hAnsiTheme="majorHAnsi" w:cstheme="majorHAnsi"/>
          <w:sz w:val="22"/>
          <w:szCs w:val="22"/>
          <w:lang w:val="haw-US"/>
        </w:rPr>
        <w:t xml:space="preserve">including </w:t>
      </w:r>
      <w:r w:rsidRPr="0071045B">
        <w:rPr>
          <w:rFonts w:asciiTheme="majorHAnsi" w:eastAsia="Calibri" w:hAnsiTheme="majorHAnsi" w:cstheme="majorHAnsi"/>
          <w:sz w:val="22"/>
          <w:szCs w:val="22"/>
        </w:rPr>
        <w:t>any patient/client</w:t>
      </w:r>
      <w:r w:rsidR="00C331A9" w:rsidRPr="0071045B">
        <w:rPr>
          <w:rFonts w:asciiTheme="majorHAnsi" w:eastAsia="Calibri" w:hAnsiTheme="majorHAnsi" w:cstheme="majorHAnsi"/>
          <w:sz w:val="22"/>
          <w:szCs w:val="22"/>
          <w:lang w:val="haw-US"/>
        </w:rPr>
        <w:t xml:space="preserve"> group</w:t>
      </w:r>
      <w:r w:rsidRPr="0071045B">
        <w:rPr>
          <w:rFonts w:asciiTheme="majorHAnsi" w:eastAsia="Calibri" w:hAnsiTheme="majorHAnsi" w:cstheme="majorHAnsi"/>
          <w:sz w:val="22"/>
          <w:szCs w:val="22"/>
        </w:rPr>
        <w:t xml:space="preserve"> </w:t>
      </w:r>
      <w:r w:rsidR="00C331A9" w:rsidRPr="0071045B">
        <w:rPr>
          <w:rFonts w:asciiTheme="majorHAnsi" w:eastAsia="Calibri" w:hAnsiTheme="majorHAnsi" w:cstheme="majorHAnsi"/>
          <w:sz w:val="22"/>
          <w:szCs w:val="22"/>
          <w:lang w:val="haw-US"/>
        </w:rPr>
        <w:t>that</w:t>
      </w:r>
      <w:r w:rsidRPr="0071045B">
        <w:rPr>
          <w:rFonts w:asciiTheme="majorHAnsi" w:eastAsia="Calibri" w:hAnsiTheme="majorHAnsi" w:cstheme="majorHAnsi"/>
          <w:sz w:val="22"/>
          <w:szCs w:val="22"/>
        </w:rPr>
        <w:t xml:space="preserve"> tends to be underrepresented in society and has a unique set of needs: Among others, children and adults with disabilities, LGBTQ individuals, survivors of trauma, immigrants/ESL speakers, military veterans, impoverished</w:t>
      </w:r>
      <w:r w:rsidR="006C42EA" w:rsidRPr="0071045B">
        <w:rPr>
          <w:rFonts w:asciiTheme="majorHAnsi" w:eastAsia="Calibri" w:hAnsiTheme="majorHAnsi" w:cstheme="majorHAnsi"/>
          <w:sz w:val="22"/>
          <w:szCs w:val="22"/>
          <w:lang w:val="haw-US"/>
        </w:rPr>
        <w:t>/</w:t>
      </w:r>
      <w:r w:rsidR="005F3CC2" w:rsidRPr="0071045B">
        <w:rPr>
          <w:rFonts w:asciiTheme="majorHAnsi" w:eastAsia="Calibri" w:hAnsiTheme="majorHAnsi" w:cstheme="majorHAnsi"/>
          <w:sz w:val="22"/>
          <w:szCs w:val="22"/>
          <w:lang w:val="haw-US"/>
        </w:rPr>
        <w:t>homeless</w:t>
      </w:r>
      <w:r w:rsidRPr="0071045B">
        <w:rPr>
          <w:rFonts w:asciiTheme="majorHAnsi" w:eastAsia="Calibri" w:hAnsiTheme="majorHAnsi" w:cstheme="majorHAnsi"/>
          <w:sz w:val="22"/>
          <w:szCs w:val="22"/>
        </w:rPr>
        <w:t>, and other non-traditional groups. Both child and adult members of these sub-populations require a specialized approach to assessment and treatment to enhance the validity of evaluations and treatment effectiveness.</w:t>
      </w:r>
    </w:p>
    <w:p w14:paraId="091DB301" w14:textId="77777777" w:rsidR="00FD5520" w:rsidRPr="0071045B" w:rsidRDefault="00FD5520">
      <w:pPr>
        <w:rPr>
          <w:rFonts w:asciiTheme="majorHAnsi" w:eastAsia="Calibri" w:hAnsiTheme="majorHAnsi" w:cstheme="majorHAnsi"/>
          <w:sz w:val="22"/>
          <w:szCs w:val="22"/>
        </w:rPr>
      </w:pPr>
    </w:p>
    <w:p w14:paraId="5368EB54" w14:textId="77777777" w:rsidR="00FD5520" w:rsidRPr="0071045B" w:rsidRDefault="000022E4">
      <w:pPr>
        <w:pBdr>
          <w:top w:val="nil"/>
          <w:left w:val="nil"/>
          <w:bottom w:val="nil"/>
          <w:right w:val="nil"/>
          <w:between w:val="nil"/>
        </w:pBdr>
        <w:rPr>
          <w:rFonts w:asciiTheme="majorHAnsi" w:hAnsiTheme="majorHAnsi" w:cstheme="majorHAnsi"/>
          <w:color w:val="000000"/>
          <w:sz w:val="22"/>
          <w:szCs w:val="22"/>
        </w:rPr>
      </w:pPr>
      <w:r w:rsidRPr="0071045B">
        <w:rPr>
          <w:rFonts w:asciiTheme="majorHAnsi" w:eastAsia="Calibri" w:hAnsiTheme="majorHAnsi" w:cstheme="majorHAnsi"/>
          <w:sz w:val="22"/>
          <w:szCs w:val="22"/>
        </w:rPr>
        <w:t>Students can expect to work collaboratively on project-based learning activities, co-</w:t>
      </w:r>
      <w:r w:rsidRPr="0071045B">
        <w:rPr>
          <w:rFonts w:asciiTheme="majorHAnsi" w:eastAsia="Calibri" w:hAnsiTheme="majorHAnsi" w:cstheme="majorHAnsi"/>
          <w:color w:val="000000"/>
          <w:sz w:val="22"/>
          <w:szCs w:val="22"/>
        </w:rPr>
        <w:t xml:space="preserve">creating an environment that supports critical-thinking </w:t>
      </w:r>
      <w:r w:rsidRPr="0071045B">
        <w:rPr>
          <w:rFonts w:asciiTheme="majorHAnsi" w:eastAsia="Calibri" w:hAnsiTheme="majorHAnsi" w:cstheme="majorHAnsi"/>
          <w:sz w:val="22"/>
          <w:szCs w:val="22"/>
        </w:rPr>
        <w:t>and cooperative</w:t>
      </w:r>
      <w:r w:rsidRPr="0071045B">
        <w:rPr>
          <w:rFonts w:asciiTheme="majorHAnsi" w:eastAsia="Calibri" w:hAnsiTheme="majorHAnsi" w:cstheme="majorHAnsi"/>
          <w:color w:val="000000"/>
          <w:sz w:val="22"/>
          <w:szCs w:val="22"/>
        </w:rPr>
        <w:t xml:space="preserve"> </w:t>
      </w:r>
      <w:r w:rsidRPr="0071045B">
        <w:rPr>
          <w:rFonts w:asciiTheme="majorHAnsi" w:eastAsia="Calibri" w:hAnsiTheme="majorHAnsi" w:cstheme="majorHAnsi"/>
          <w:sz w:val="22"/>
          <w:szCs w:val="22"/>
        </w:rPr>
        <w:t>learning</w:t>
      </w:r>
      <w:r w:rsidRPr="0071045B">
        <w:rPr>
          <w:rFonts w:asciiTheme="majorHAnsi" w:hAnsiTheme="majorHAnsi" w:cstheme="majorHAnsi"/>
          <w:color w:val="000000"/>
          <w:sz w:val="22"/>
          <w:szCs w:val="22"/>
        </w:rPr>
        <w:t>.</w:t>
      </w:r>
    </w:p>
    <w:p w14:paraId="7B18D7AB" w14:textId="77777777" w:rsidR="00FD5520" w:rsidRPr="0071045B" w:rsidRDefault="00FD5520">
      <w:pPr>
        <w:rPr>
          <w:rFonts w:asciiTheme="majorHAnsi" w:eastAsia="Calibri" w:hAnsiTheme="majorHAnsi" w:cstheme="majorHAnsi"/>
          <w:sz w:val="22"/>
          <w:szCs w:val="22"/>
          <w:highlight w:val="yellow"/>
        </w:rPr>
      </w:pPr>
    </w:p>
    <w:p w14:paraId="0316B961" w14:textId="77777777" w:rsidR="00FD5520" w:rsidRPr="0071045B" w:rsidRDefault="000022E4">
      <w:pPr>
        <w:pBdr>
          <w:top w:val="nil"/>
          <w:left w:val="nil"/>
          <w:bottom w:val="nil"/>
          <w:right w:val="nil"/>
          <w:between w:val="nil"/>
        </w:pBdr>
        <w:rPr>
          <w:rFonts w:asciiTheme="majorHAnsi" w:eastAsia="Calibri" w:hAnsiTheme="majorHAnsi" w:cstheme="majorHAnsi"/>
          <w:b/>
          <w:color w:val="000000"/>
          <w:sz w:val="22"/>
          <w:szCs w:val="22"/>
        </w:rPr>
      </w:pPr>
      <w:r w:rsidRPr="0071045B">
        <w:rPr>
          <w:rFonts w:asciiTheme="majorHAnsi" w:eastAsia="Calibri" w:hAnsiTheme="majorHAnsi" w:cstheme="majorHAnsi"/>
          <w:b/>
          <w:color w:val="000000"/>
          <w:sz w:val="22"/>
          <w:szCs w:val="22"/>
        </w:rPr>
        <w:t xml:space="preserve">Instructional Contact and Credit Hours </w:t>
      </w:r>
    </w:p>
    <w:p w14:paraId="19D27444"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Students can expect 15 hours of instructional engagement for every 1 semester credit hour of a course. Instructional engagement activities include lectures, presentations, discussions, group-work, and other activities that would normally occur during class time. Instructional engagement activities may occur in a face-to-face meeting, or in the classroom. </w:t>
      </w:r>
    </w:p>
    <w:p w14:paraId="39C306C2"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w:t>
      </w:r>
    </w:p>
    <w:p w14:paraId="09E717D9"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In addition to instructional engagement, students can expect to complete 30 hours of outside work for every 1 semester credit hour of a course. Outside work includes preparing for and completing readings and assignments.  Such outside work includes, but is not limited to, all research associated with completing assignments, work with others to complete a group project, participation in tutorials, labs, simulations and other electronic activities that are not a part of the instructional engagement, as well as any activities related to preparation for instructional engagement.</w:t>
      </w:r>
    </w:p>
    <w:p w14:paraId="018A8B5F"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lastRenderedPageBreak/>
        <w:t> </w:t>
      </w:r>
    </w:p>
    <w:p w14:paraId="3B115D15"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At least an equivalent amount of work specified in the paragraph above shall be applied for other academic activities as established by the institution, including laboratory work, internships, practica, studio work, and other academic work leading to the award of credit hours.</w:t>
      </w:r>
    </w:p>
    <w:p w14:paraId="242CB07E" w14:textId="77777777" w:rsidR="00FD5520" w:rsidRPr="0071045B" w:rsidRDefault="00FD5520">
      <w:pPr>
        <w:pBdr>
          <w:top w:val="nil"/>
          <w:left w:val="nil"/>
          <w:bottom w:val="nil"/>
          <w:right w:val="nil"/>
          <w:between w:val="nil"/>
        </w:pBdr>
        <w:rPr>
          <w:rFonts w:asciiTheme="majorHAnsi" w:eastAsia="Calibri" w:hAnsiTheme="majorHAnsi" w:cstheme="majorHAnsi"/>
          <w:color w:val="000000"/>
          <w:sz w:val="22"/>
          <w:szCs w:val="22"/>
          <w:highlight w:val="yellow"/>
        </w:rPr>
      </w:pPr>
    </w:p>
    <w:p w14:paraId="617BAA1D" w14:textId="77777777" w:rsidR="00FD5520" w:rsidRPr="0071045B" w:rsidRDefault="000022E4">
      <w:pPr>
        <w:rPr>
          <w:rFonts w:asciiTheme="majorHAnsi" w:eastAsia="Calibri" w:hAnsiTheme="majorHAnsi" w:cstheme="majorHAnsi"/>
          <w:sz w:val="22"/>
          <w:szCs w:val="22"/>
        </w:rPr>
      </w:pPr>
      <w:r w:rsidRPr="0071045B">
        <w:rPr>
          <w:rFonts w:asciiTheme="majorHAnsi" w:eastAsia="Calibri" w:hAnsiTheme="majorHAnsi" w:cstheme="majorHAnsi"/>
          <w:b/>
          <w:sz w:val="22"/>
          <w:szCs w:val="22"/>
        </w:rPr>
        <w:t>Marianist Values</w:t>
      </w:r>
      <w:r w:rsidRPr="0071045B">
        <w:rPr>
          <w:rFonts w:asciiTheme="majorHAnsi" w:eastAsia="Calibri" w:hAnsiTheme="majorHAnsi" w:cstheme="majorHAnsi"/>
          <w:sz w:val="22"/>
          <w:szCs w:val="22"/>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6039FA4B" w14:textId="77777777" w:rsidR="00FD5520" w:rsidRPr="0071045B" w:rsidRDefault="000022E4" w:rsidP="00895080">
      <w:pPr>
        <w:numPr>
          <w:ilvl w:val="0"/>
          <w:numId w:val="9"/>
        </w:numPr>
        <w:rPr>
          <w:rFonts w:asciiTheme="majorHAnsi" w:eastAsia="Calibri" w:hAnsiTheme="majorHAnsi" w:cstheme="majorHAnsi"/>
          <w:sz w:val="22"/>
          <w:szCs w:val="22"/>
        </w:rPr>
      </w:pPr>
      <w:r w:rsidRPr="0071045B">
        <w:rPr>
          <w:rFonts w:asciiTheme="majorHAnsi" w:eastAsia="Calibri" w:hAnsiTheme="majorHAnsi" w:cstheme="majorHAnsi"/>
          <w:sz w:val="22"/>
          <w:szCs w:val="22"/>
        </w:rPr>
        <w:t>Education for formation in faith</w:t>
      </w:r>
    </w:p>
    <w:p w14:paraId="2B43EE55" w14:textId="77777777" w:rsidR="00FD5520" w:rsidRPr="0071045B" w:rsidRDefault="000022E4" w:rsidP="00895080">
      <w:pPr>
        <w:numPr>
          <w:ilvl w:val="0"/>
          <w:numId w:val="9"/>
        </w:numPr>
        <w:rPr>
          <w:rFonts w:asciiTheme="majorHAnsi" w:eastAsia="Calibri" w:hAnsiTheme="majorHAnsi" w:cstheme="majorHAnsi"/>
          <w:sz w:val="22"/>
          <w:szCs w:val="22"/>
        </w:rPr>
      </w:pPr>
      <w:r w:rsidRPr="0071045B">
        <w:rPr>
          <w:rFonts w:asciiTheme="majorHAnsi" w:eastAsia="Calibri" w:hAnsiTheme="majorHAnsi" w:cstheme="majorHAnsi"/>
          <w:sz w:val="22"/>
          <w:szCs w:val="22"/>
        </w:rPr>
        <w:t>Provide an integral, quality education</w:t>
      </w:r>
    </w:p>
    <w:p w14:paraId="681AF99C" w14:textId="77777777" w:rsidR="00FD5520" w:rsidRPr="0071045B" w:rsidRDefault="000022E4" w:rsidP="00895080">
      <w:pPr>
        <w:numPr>
          <w:ilvl w:val="0"/>
          <w:numId w:val="9"/>
        </w:numPr>
        <w:rPr>
          <w:rFonts w:asciiTheme="majorHAnsi" w:eastAsia="Calibri" w:hAnsiTheme="majorHAnsi" w:cstheme="majorHAnsi"/>
          <w:sz w:val="22"/>
          <w:szCs w:val="22"/>
        </w:rPr>
      </w:pPr>
      <w:r w:rsidRPr="0071045B">
        <w:rPr>
          <w:rFonts w:asciiTheme="majorHAnsi" w:eastAsia="Calibri" w:hAnsiTheme="majorHAnsi" w:cstheme="majorHAnsi"/>
          <w:sz w:val="22"/>
          <w:szCs w:val="22"/>
        </w:rPr>
        <w:t>Educate in family spirit</w:t>
      </w:r>
    </w:p>
    <w:p w14:paraId="6DE6C17E" w14:textId="77777777" w:rsidR="00FD5520" w:rsidRPr="0071045B" w:rsidRDefault="000022E4" w:rsidP="00895080">
      <w:pPr>
        <w:numPr>
          <w:ilvl w:val="0"/>
          <w:numId w:val="9"/>
        </w:numPr>
        <w:rPr>
          <w:rFonts w:asciiTheme="majorHAnsi" w:eastAsia="Calibri" w:hAnsiTheme="majorHAnsi" w:cstheme="majorHAnsi"/>
          <w:sz w:val="22"/>
          <w:szCs w:val="22"/>
        </w:rPr>
      </w:pPr>
      <w:r w:rsidRPr="0071045B">
        <w:rPr>
          <w:rFonts w:asciiTheme="majorHAnsi" w:eastAsia="Calibri" w:hAnsiTheme="majorHAnsi" w:cstheme="majorHAnsi"/>
          <w:sz w:val="22"/>
          <w:szCs w:val="22"/>
        </w:rPr>
        <w:t>Educate for service, justice and peace</w:t>
      </w:r>
    </w:p>
    <w:p w14:paraId="4899E739" w14:textId="77777777" w:rsidR="00FD5520" w:rsidRPr="0071045B" w:rsidRDefault="000022E4" w:rsidP="00895080">
      <w:pPr>
        <w:numPr>
          <w:ilvl w:val="0"/>
          <w:numId w:val="9"/>
        </w:numPr>
        <w:rPr>
          <w:rFonts w:asciiTheme="majorHAnsi" w:eastAsia="Calibri" w:hAnsiTheme="majorHAnsi" w:cstheme="majorHAnsi"/>
          <w:sz w:val="22"/>
          <w:szCs w:val="22"/>
        </w:rPr>
      </w:pPr>
      <w:r w:rsidRPr="0071045B">
        <w:rPr>
          <w:rFonts w:asciiTheme="majorHAnsi" w:eastAsia="Calibri" w:hAnsiTheme="majorHAnsi" w:cstheme="majorHAnsi"/>
          <w:sz w:val="22"/>
          <w:szCs w:val="22"/>
        </w:rPr>
        <w:t>Educate for adaptation and change</w:t>
      </w:r>
    </w:p>
    <w:p w14:paraId="534857A3" w14:textId="77777777" w:rsidR="00FD5520" w:rsidRPr="0071045B" w:rsidRDefault="00FD5520">
      <w:pPr>
        <w:ind w:left="720"/>
        <w:rPr>
          <w:rFonts w:asciiTheme="majorHAnsi" w:eastAsia="Calibri" w:hAnsiTheme="majorHAnsi" w:cstheme="majorHAnsi"/>
          <w:sz w:val="22"/>
          <w:szCs w:val="22"/>
        </w:rPr>
      </w:pPr>
    </w:p>
    <w:p w14:paraId="1956F191" w14:textId="77777777" w:rsidR="00FD5520" w:rsidRPr="0071045B" w:rsidRDefault="000022E4">
      <w:pPr>
        <w:rPr>
          <w:rFonts w:asciiTheme="majorHAnsi" w:eastAsia="Calibri" w:hAnsiTheme="majorHAnsi" w:cstheme="majorHAnsi"/>
          <w:b/>
          <w:sz w:val="22"/>
          <w:szCs w:val="22"/>
        </w:rPr>
      </w:pPr>
      <w:r w:rsidRPr="0071045B">
        <w:rPr>
          <w:rFonts w:asciiTheme="majorHAnsi" w:eastAsia="Calibri" w:hAnsiTheme="majorHAnsi" w:cstheme="majorHAnsi"/>
          <w:b/>
          <w:sz w:val="22"/>
          <w:szCs w:val="22"/>
        </w:rPr>
        <w:t>Native Hawaiian Values</w:t>
      </w:r>
    </w:p>
    <w:p w14:paraId="377E09FD" w14:textId="77777777" w:rsidR="00FD5520" w:rsidRPr="0071045B" w:rsidRDefault="000022E4">
      <w:pP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71045B">
        <w:rPr>
          <w:rFonts w:asciiTheme="majorHAnsi" w:eastAsia="Calibri" w:hAnsiTheme="majorHAnsi" w:cstheme="majorHAnsi"/>
          <w:color w:val="000000"/>
          <w:sz w:val="22"/>
          <w:szCs w:val="22"/>
        </w:rPr>
        <w:t>Ke</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Akua</w:t>
      </w:r>
      <w:proofErr w:type="spellEnd"/>
      <w:r w:rsidRPr="0071045B">
        <w:rPr>
          <w:rFonts w:asciiTheme="majorHAnsi" w:eastAsia="Calibri" w:hAnsiTheme="majorHAnsi" w:cstheme="majorHAnsi"/>
          <w:color w:val="000000"/>
          <w:sz w:val="22"/>
          <w:szCs w:val="22"/>
        </w:rPr>
        <w:t xml:space="preserve">). This is reflected in the </w:t>
      </w:r>
      <w:proofErr w:type="spellStart"/>
      <w:r w:rsidRPr="0071045B">
        <w:rPr>
          <w:rFonts w:asciiTheme="majorHAnsi" w:eastAsia="Calibri" w:hAnsiTheme="majorHAnsi" w:cstheme="majorHAnsi"/>
          <w:color w:val="000000"/>
          <w:sz w:val="22"/>
          <w:szCs w:val="22"/>
        </w:rPr>
        <w:t>ʻŌlelo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No‘eau</w:t>
      </w:r>
      <w:proofErr w:type="spellEnd"/>
      <w:r w:rsidRPr="0071045B">
        <w:rPr>
          <w:rFonts w:asciiTheme="majorHAnsi" w:eastAsia="Calibri" w:hAnsiTheme="majorHAnsi" w:cstheme="majorHAnsi"/>
          <w:color w:val="000000"/>
          <w:sz w:val="22"/>
          <w:szCs w:val="22"/>
        </w:rPr>
        <w:t xml:space="preserve"> (Hawai’ian proverbs) and Marianist core beliefs:</w:t>
      </w:r>
    </w:p>
    <w:p w14:paraId="7951FF3B" w14:textId="77777777" w:rsidR="00FD5520" w:rsidRPr="0071045B" w:rsidRDefault="000022E4">
      <w:pPr>
        <w:numPr>
          <w:ilvl w:val="0"/>
          <w:numId w:val="1"/>
        </w:numPr>
        <w:ind w:right="18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Educate for Formation in Faith (Mana) E </w:t>
      </w:r>
      <w:proofErr w:type="spellStart"/>
      <w:r w:rsidRPr="0071045B">
        <w:rPr>
          <w:rFonts w:asciiTheme="majorHAnsi" w:eastAsia="Calibri" w:hAnsiTheme="majorHAnsi" w:cstheme="majorHAnsi"/>
          <w:color w:val="000000"/>
          <w:sz w:val="22"/>
          <w:szCs w:val="22"/>
        </w:rPr>
        <w:t>ola</w:t>
      </w:r>
      <w:proofErr w:type="spellEnd"/>
      <w:r w:rsidRPr="0071045B">
        <w:rPr>
          <w:rFonts w:asciiTheme="majorHAnsi" w:eastAsia="Calibri" w:hAnsiTheme="majorHAnsi" w:cstheme="majorHAnsi"/>
          <w:color w:val="000000"/>
          <w:sz w:val="22"/>
          <w:szCs w:val="22"/>
        </w:rPr>
        <w:t xml:space="preserve"> au </w:t>
      </w:r>
      <w:proofErr w:type="spellStart"/>
      <w:r w:rsidRPr="0071045B">
        <w:rPr>
          <w:rFonts w:asciiTheme="majorHAnsi" w:eastAsia="Calibri" w:hAnsiTheme="majorHAnsi" w:cstheme="majorHAnsi"/>
          <w:color w:val="000000"/>
          <w:sz w:val="22"/>
          <w:szCs w:val="22"/>
        </w:rPr>
        <w:t>i</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ke</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akua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ʻŌlelo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Noʻeau</w:t>
      </w:r>
      <w:proofErr w:type="spellEnd"/>
      <w:r w:rsidRPr="0071045B">
        <w:rPr>
          <w:rFonts w:asciiTheme="majorHAnsi" w:eastAsia="Calibri" w:hAnsiTheme="majorHAnsi" w:cstheme="majorHAnsi"/>
          <w:color w:val="000000"/>
          <w:sz w:val="22"/>
          <w:szCs w:val="22"/>
        </w:rPr>
        <w:t xml:space="preserve"> 364) May I live by God</w:t>
      </w:r>
    </w:p>
    <w:p w14:paraId="59B96FD8" w14:textId="77777777" w:rsidR="00FD5520" w:rsidRPr="0071045B" w:rsidRDefault="000022E4">
      <w:pPr>
        <w:numPr>
          <w:ilvl w:val="0"/>
          <w:numId w:val="1"/>
        </w:numPr>
        <w:ind w:right="18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Provide an Integral, Quality Education (</w:t>
      </w:r>
      <w:proofErr w:type="spellStart"/>
      <w:r w:rsidRPr="0071045B">
        <w:rPr>
          <w:rFonts w:asciiTheme="majorHAnsi" w:eastAsia="Calibri" w:hAnsiTheme="majorHAnsi" w:cstheme="majorHAnsi"/>
          <w:color w:val="000000"/>
          <w:sz w:val="22"/>
          <w:szCs w:val="22"/>
        </w:rPr>
        <w:t>Na‘auao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Lawe</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i</w:t>
      </w:r>
      <w:proofErr w:type="spellEnd"/>
      <w:r w:rsidRPr="0071045B">
        <w:rPr>
          <w:rFonts w:asciiTheme="majorHAnsi" w:eastAsia="Calibri" w:hAnsiTheme="majorHAnsi" w:cstheme="majorHAnsi"/>
          <w:color w:val="000000"/>
          <w:sz w:val="22"/>
          <w:szCs w:val="22"/>
        </w:rPr>
        <w:t xml:space="preserve"> ka </w:t>
      </w:r>
      <w:proofErr w:type="spellStart"/>
      <w:r w:rsidRPr="0071045B">
        <w:rPr>
          <w:rFonts w:asciiTheme="majorHAnsi" w:eastAsia="Calibri" w:hAnsiTheme="majorHAnsi" w:cstheme="majorHAnsi"/>
          <w:color w:val="000000"/>
          <w:sz w:val="22"/>
          <w:szCs w:val="22"/>
        </w:rPr>
        <w:t>maʻalea</w:t>
      </w:r>
      <w:proofErr w:type="spellEnd"/>
      <w:r w:rsidRPr="0071045B">
        <w:rPr>
          <w:rFonts w:asciiTheme="majorHAnsi" w:eastAsia="Calibri" w:hAnsiTheme="majorHAnsi" w:cstheme="majorHAnsi"/>
          <w:color w:val="000000"/>
          <w:sz w:val="22"/>
          <w:szCs w:val="22"/>
        </w:rPr>
        <w:t xml:space="preserve"> a </w:t>
      </w:r>
      <w:proofErr w:type="spellStart"/>
      <w:r w:rsidRPr="0071045B">
        <w:rPr>
          <w:rFonts w:asciiTheme="majorHAnsi" w:eastAsia="Calibri" w:hAnsiTheme="majorHAnsi" w:cstheme="majorHAnsi"/>
          <w:color w:val="000000"/>
          <w:sz w:val="22"/>
          <w:szCs w:val="22"/>
        </w:rPr>
        <w:t>kūʻonoʻono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ʻŌlelo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Noʻeau</w:t>
      </w:r>
      <w:proofErr w:type="spellEnd"/>
      <w:r w:rsidRPr="0071045B">
        <w:rPr>
          <w:rFonts w:asciiTheme="majorHAnsi" w:eastAsia="Calibri" w:hAnsiTheme="majorHAnsi" w:cstheme="majorHAnsi"/>
          <w:color w:val="000000"/>
          <w:sz w:val="22"/>
          <w:szCs w:val="22"/>
        </w:rPr>
        <w:t xml:space="preserve"> 1957) Acquire skill and make it deep</w:t>
      </w:r>
    </w:p>
    <w:p w14:paraId="3A04A396" w14:textId="77777777" w:rsidR="00FD5520" w:rsidRPr="0071045B" w:rsidRDefault="000022E4">
      <w:pPr>
        <w:numPr>
          <w:ilvl w:val="0"/>
          <w:numId w:val="1"/>
        </w:numPr>
        <w:ind w:right="18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Educate in Family Spirit (‘</w:t>
      </w:r>
      <w:proofErr w:type="spellStart"/>
      <w:r w:rsidRPr="0071045B">
        <w:rPr>
          <w:rFonts w:asciiTheme="majorHAnsi" w:eastAsia="Calibri" w:hAnsiTheme="majorHAnsi" w:cstheme="majorHAnsi"/>
          <w:color w:val="000000"/>
          <w:sz w:val="22"/>
          <w:szCs w:val="22"/>
        </w:rPr>
        <w:t>Ohana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ʻIke</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aku</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ʻike</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mai</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kōkua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aku</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kōkua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mai</w:t>
      </w:r>
      <w:proofErr w:type="spellEnd"/>
      <w:r w:rsidRPr="0071045B">
        <w:rPr>
          <w:rFonts w:asciiTheme="majorHAnsi" w:eastAsia="Calibri" w:hAnsiTheme="majorHAnsi" w:cstheme="majorHAnsi"/>
          <w:color w:val="000000"/>
          <w:sz w:val="22"/>
          <w:szCs w:val="22"/>
        </w:rPr>
        <w:t xml:space="preserve">; pela </w:t>
      </w:r>
      <w:proofErr w:type="spellStart"/>
      <w:r w:rsidRPr="0071045B">
        <w:rPr>
          <w:rFonts w:asciiTheme="majorHAnsi" w:eastAsia="Calibri" w:hAnsiTheme="majorHAnsi" w:cstheme="majorHAnsi"/>
          <w:color w:val="000000"/>
          <w:sz w:val="22"/>
          <w:szCs w:val="22"/>
        </w:rPr>
        <w:t>iho</w:t>
      </w:r>
      <w:proofErr w:type="spellEnd"/>
      <w:r w:rsidRPr="0071045B">
        <w:rPr>
          <w:rFonts w:asciiTheme="majorHAnsi" w:eastAsia="Calibri" w:hAnsiTheme="majorHAnsi" w:cstheme="majorHAnsi"/>
          <w:color w:val="000000"/>
          <w:sz w:val="22"/>
          <w:szCs w:val="22"/>
        </w:rPr>
        <w:t xml:space="preserve"> la ka </w:t>
      </w:r>
      <w:proofErr w:type="spellStart"/>
      <w:r w:rsidRPr="0071045B">
        <w:rPr>
          <w:rFonts w:asciiTheme="majorHAnsi" w:eastAsia="Calibri" w:hAnsiTheme="majorHAnsi" w:cstheme="majorHAnsi"/>
          <w:color w:val="000000"/>
          <w:sz w:val="22"/>
          <w:szCs w:val="22"/>
        </w:rPr>
        <w:t>nohana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ʻohana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Ōlelo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Noʻeau</w:t>
      </w:r>
      <w:proofErr w:type="spellEnd"/>
      <w:r w:rsidRPr="0071045B">
        <w:rPr>
          <w:rFonts w:asciiTheme="majorHAnsi" w:eastAsia="Calibri" w:hAnsiTheme="majorHAnsi" w:cstheme="majorHAnsi"/>
          <w:color w:val="000000"/>
          <w:sz w:val="22"/>
          <w:szCs w:val="22"/>
        </w:rPr>
        <w:t xml:space="preserve"> 1200) Recognize others, be recognized, help others, be helped; such is a family relationship</w:t>
      </w:r>
    </w:p>
    <w:p w14:paraId="5F047D78" w14:textId="77777777" w:rsidR="00FD5520" w:rsidRPr="0071045B" w:rsidRDefault="000022E4">
      <w:pPr>
        <w:numPr>
          <w:ilvl w:val="0"/>
          <w:numId w:val="1"/>
        </w:numPr>
        <w:ind w:right="18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Educate for Service, Justice and Peace (Aloha) Ka lama </w:t>
      </w:r>
      <w:proofErr w:type="spellStart"/>
      <w:r w:rsidRPr="0071045B">
        <w:rPr>
          <w:rFonts w:asciiTheme="majorHAnsi" w:eastAsia="Calibri" w:hAnsiTheme="majorHAnsi" w:cstheme="majorHAnsi"/>
          <w:color w:val="000000"/>
          <w:sz w:val="22"/>
          <w:szCs w:val="22"/>
        </w:rPr>
        <w:t>kū</w:t>
      </w:r>
      <w:proofErr w:type="spellEnd"/>
      <w:r w:rsidRPr="0071045B">
        <w:rPr>
          <w:rFonts w:asciiTheme="majorHAnsi" w:eastAsia="Calibri" w:hAnsiTheme="majorHAnsi" w:cstheme="majorHAnsi"/>
          <w:color w:val="000000"/>
          <w:sz w:val="22"/>
          <w:szCs w:val="22"/>
        </w:rPr>
        <w:t xml:space="preserve"> o ka </w:t>
      </w:r>
      <w:proofErr w:type="spellStart"/>
      <w:r w:rsidRPr="0071045B">
        <w:rPr>
          <w:rFonts w:asciiTheme="majorHAnsi" w:eastAsia="Calibri" w:hAnsiTheme="majorHAnsi" w:cstheme="majorHAnsi"/>
          <w:color w:val="000000"/>
          <w:sz w:val="22"/>
          <w:szCs w:val="22"/>
        </w:rPr>
        <w:t>noʻeau</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ʻŌlelo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Noʻeau</w:t>
      </w:r>
      <w:proofErr w:type="spellEnd"/>
      <w:r w:rsidRPr="0071045B">
        <w:rPr>
          <w:rFonts w:asciiTheme="majorHAnsi" w:eastAsia="Calibri" w:hAnsiTheme="majorHAnsi" w:cstheme="majorHAnsi"/>
          <w:color w:val="000000"/>
          <w:sz w:val="22"/>
          <w:szCs w:val="22"/>
        </w:rPr>
        <w:t xml:space="preserve"> 1430) Education is the standing torch of wisdom</w:t>
      </w:r>
    </w:p>
    <w:p w14:paraId="4A4E457A" w14:textId="77777777" w:rsidR="00FD5520" w:rsidRPr="0071045B" w:rsidRDefault="000022E4">
      <w:pPr>
        <w:numPr>
          <w:ilvl w:val="0"/>
          <w:numId w:val="1"/>
        </w:numPr>
        <w:ind w:right="18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Educate for Adaptation and Change (</w:t>
      </w:r>
      <w:proofErr w:type="spellStart"/>
      <w:r w:rsidRPr="0071045B">
        <w:rPr>
          <w:rFonts w:asciiTheme="majorHAnsi" w:eastAsia="Calibri" w:hAnsiTheme="majorHAnsi" w:cstheme="majorHAnsi"/>
          <w:color w:val="000000"/>
          <w:sz w:val="22"/>
          <w:szCs w:val="22"/>
        </w:rPr>
        <w:t>Aina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ʻAʻohe</w:t>
      </w:r>
      <w:proofErr w:type="spellEnd"/>
      <w:r w:rsidRPr="0071045B">
        <w:rPr>
          <w:rFonts w:asciiTheme="majorHAnsi" w:eastAsia="Calibri" w:hAnsiTheme="majorHAnsi" w:cstheme="majorHAnsi"/>
          <w:color w:val="000000"/>
          <w:sz w:val="22"/>
          <w:szCs w:val="22"/>
        </w:rPr>
        <w:t xml:space="preserve"> pau ka ‘</w:t>
      </w:r>
      <w:proofErr w:type="spellStart"/>
      <w:r w:rsidRPr="0071045B">
        <w:rPr>
          <w:rFonts w:asciiTheme="majorHAnsi" w:eastAsia="Calibri" w:hAnsiTheme="majorHAnsi" w:cstheme="majorHAnsi"/>
          <w:color w:val="000000"/>
          <w:sz w:val="22"/>
          <w:szCs w:val="22"/>
        </w:rPr>
        <w:t>ike</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i</w:t>
      </w:r>
      <w:proofErr w:type="spellEnd"/>
      <w:r w:rsidRPr="0071045B">
        <w:rPr>
          <w:rFonts w:asciiTheme="majorHAnsi" w:eastAsia="Calibri" w:hAnsiTheme="majorHAnsi" w:cstheme="majorHAnsi"/>
          <w:color w:val="000000"/>
          <w:sz w:val="22"/>
          <w:szCs w:val="22"/>
        </w:rPr>
        <w:t xml:space="preserve"> ka </w:t>
      </w:r>
      <w:proofErr w:type="spellStart"/>
      <w:r w:rsidRPr="0071045B">
        <w:rPr>
          <w:rFonts w:asciiTheme="majorHAnsi" w:eastAsia="Calibri" w:hAnsiTheme="majorHAnsi" w:cstheme="majorHAnsi"/>
          <w:color w:val="000000"/>
          <w:sz w:val="22"/>
          <w:szCs w:val="22"/>
        </w:rPr>
        <w:t>hālau</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hoʻokahi</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ʻŌlelo</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Noʻeau</w:t>
      </w:r>
      <w:proofErr w:type="spellEnd"/>
      <w:r w:rsidRPr="0071045B">
        <w:rPr>
          <w:rFonts w:asciiTheme="majorHAnsi" w:eastAsia="Calibri" w:hAnsiTheme="majorHAnsi" w:cstheme="majorHAnsi"/>
          <w:color w:val="000000"/>
          <w:sz w:val="22"/>
          <w:szCs w:val="22"/>
        </w:rPr>
        <w:t xml:space="preserve"> 203) All knowledge is not taught in the same school</w:t>
      </w:r>
    </w:p>
    <w:p w14:paraId="37CC2DD7" w14:textId="77777777" w:rsidR="00FD5520" w:rsidRPr="0071045B" w:rsidRDefault="00FD5520">
      <w:pPr>
        <w:rPr>
          <w:rFonts w:asciiTheme="majorHAnsi" w:eastAsia="Calibri" w:hAnsiTheme="majorHAnsi" w:cstheme="majorHAnsi"/>
          <w:b/>
          <w:color w:val="000000"/>
          <w:sz w:val="22"/>
          <w:szCs w:val="22"/>
        </w:rPr>
      </w:pPr>
    </w:p>
    <w:p w14:paraId="2F0766C0" w14:textId="77777777" w:rsidR="00FD5520" w:rsidRPr="0071045B" w:rsidRDefault="000022E4">
      <w:pPr>
        <w:rPr>
          <w:rFonts w:asciiTheme="majorHAnsi" w:eastAsia="Calibri" w:hAnsiTheme="majorHAnsi" w:cstheme="majorHAnsi"/>
          <w:b/>
          <w:sz w:val="22"/>
          <w:szCs w:val="22"/>
        </w:rPr>
      </w:pPr>
      <w:r w:rsidRPr="0071045B">
        <w:rPr>
          <w:rFonts w:asciiTheme="majorHAnsi" w:eastAsia="Calibri" w:hAnsiTheme="majorHAnsi" w:cstheme="majorHAnsi"/>
          <w:b/>
          <w:sz w:val="22"/>
          <w:szCs w:val="22"/>
        </w:rPr>
        <w:t>Program Learning Outcomes: HSPP Aims and Competencies</w:t>
      </w:r>
    </w:p>
    <w:p w14:paraId="49FD9ED4" w14:textId="77777777" w:rsidR="00FD5520" w:rsidRPr="0071045B" w:rsidRDefault="000022E4">
      <w:pPr>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21C30502" w14:textId="77777777" w:rsidR="00FD5520" w:rsidRPr="0071045B" w:rsidRDefault="00FD5520">
      <w:pPr>
        <w:rPr>
          <w:rFonts w:asciiTheme="majorHAnsi" w:eastAsia="Calibri" w:hAnsiTheme="majorHAnsi" w:cstheme="majorHAnsi"/>
          <w:sz w:val="22"/>
          <w:szCs w:val="22"/>
        </w:rPr>
      </w:pPr>
    </w:p>
    <w:p w14:paraId="51A3D6F9" w14:textId="77777777" w:rsidR="00FD5520" w:rsidRPr="0071045B" w:rsidRDefault="000022E4">
      <w:pPr>
        <w:rPr>
          <w:rFonts w:asciiTheme="majorHAnsi" w:eastAsia="Calibri" w:hAnsiTheme="majorHAnsi" w:cstheme="majorHAnsi"/>
          <w:sz w:val="22"/>
          <w:szCs w:val="22"/>
        </w:rPr>
      </w:pPr>
      <w:r w:rsidRPr="0071045B">
        <w:rPr>
          <w:rFonts w:asciiTheme="majorHAnsi" w:eastAsia="Calibri" w:hAnsiTheme="majorHAnsi" w:cstheme="majorHAnsi"/>
          <w:sz w:val="22"/>
          <w:szCs w:val="22"/>
        </w:rPr>
        <w:t>The Hawai‘i School of Professional Psychology at Chaminade University of Honolulu’s clinical psychology doctoral program subscribes to the APA Standards of Accreditation. As such, students are expected to establish an identity in and orientation to health service psychology by acquiring the necessary discipline-specific knowledge and profession-wide competencies as follows:</w:t>
      </w:r>
    </w:p>
    <w:p w14:paraId="157ADF9B"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Students will demonstrate knowledge of ethical and legal standards relevant to the practice of clinical psychology, including professional ethics that guide professional behavior. </w:t>
      </w:r>
    </w:p>
    <w:p w14:paraId="25E10C49"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develop both communication and interpersonal skills, to include utilization of clear, informative, well-integrated communication, critical thinking, and effective interpersonal skills in professional interactions.</w:t>
      </w:r>
    </w:p>
    <w:p w14:paraId="45A1113B"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lastRenderedPageBreak/>
        <w:t>Students will demonstrate knowledge of professional values and attitudes as well as self-reflective practice and openness to supervision and feedback.</w:t>
      </w:r>
    </w:p>
    <w:p w14:paraId="4F1ECD90"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Students will demonstrate competency in individual and cultural diversity, including knowledge of theoretical models and diversity research that serve to guide the application of diversity competence. </w:t>
      </w:r>
    </w:p>
    <w:p w14:paraId="6BC0F1F0"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have knowledge of the history and systems of psychology as well as the basic areas in scientific psychology, including affective, biological, cognitive, developmental, psychopharmacological, and sociocultural aspects of behavior.</w:t>
      </w:r>
    </w:p>
    <w:p w14:paraId="640E8237"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demonstrate competency in the science of psychology, including knowledge and application of psychometrics, statistical analyses, and quantitative and qualitative research methods.</w:t>
      </w:r>
    </w:p>
    <w:p w14:paraId="1BA665E7"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Students will demonstrate competency in psychological assessment, including the ability to administer, interpret, and integrate psychological test results and apply knowledge of strengths and psychopathology to the assessment process. </w:t>
      </w:r>
    </w:p>
    <w:p w14:paraId="59A0144D"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demonstrate competency in clinical intervention, including case formulation, theoretical conceptualization, developing and applying evidence based treatment plans, and evaluating treatment effectiveness in work with clients.</w:t>
      </w:r>
    </w:p>
    <w:p w14:paraId="6D37AF74"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evidence knowledge of consultation models and practices, and demonstrate interprofessional and interdisciplinary skills in consultative services.</w:t>
      </w:r>
    </w:p>
    <w:p w14:paraId="0C52DB0C" w14:textId="77777777" w:rsidR="00FD5520" w:rsidRPr="0071045B" w:rsidRDefault="000022E4">
      <w:pPr>
        <w:numPr>
          <w:ilvl w:val="0"/>
          <w:numId w:val="5"/>
        </w:numPr>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evidence knowledge of supervision models and practices.</w:t>
      </w:r>
    </w:p>
    <w:p w14:paraId="5435F758" w14:textId="347F69E9" w:rsidR="00FD5520" w:rsidRPr="0071045B" w:rsidRDefault="000022E4" w:rsidP="009C743F">
      <w:pPr>
        <w:numPr>
          <w:ilvl w:val="0"/>
          <w:numId w:val="5"/>
        </w:numPr>
        <w:spacing w:after="160"/>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understand and apply the Marianist values in their professional practice. The application of Marianist values includes applying and adapting social awareness for community service, justice, and peace.</w:t>
      </w:r>
    </w:p>
    <w:p w14:paraId="355ECF26" w14:textId="57E3904F" w:rsidR="00FD5520" w:rsidRPr="0071045B" w:rsidRDefault="000022E4">
      <w:pPr>
        <w:pBdr>
          <w:top w:val="nil"/>
          <w:left w:val="nil"/>
          <w:bottom w:val="nil"/>
          <w:right w:val="nil"/>
          <w:between w:val="nil"/>
        </w:pBdr>
        <w:rPr>
          <w:rFonts w:asciiTheme="majorHAnsi" w:eastAsia="Calibri" w:hAnsiTheme="majorHAnsi" w:cstheme="majorHAnsi"/>
          <w:b/>
          <w:color w:val="000000"/>
          <w:sz w:val="22"/>
          <w:szCs w:val="22"/>
        </w:rPr>
      </w:pPr>
      <w:bookmarkStart w:id="1" w:name="_heading=h.1fob9te" w:colFirst="0" w:colLast="0"/>
      <w:bookmarkEnd w:id="1"/>
      <w:r w:rsidRPr="0071045B">
        <w:rPr>
          <w:rFonts w:asciiTheme="majorHAnsi" w:eastAsia="Calibri" w:hAnsiTheme="majorHAnsi" w:cstheme="majorHAnsi"/>
          <w:b/>
          <w:color w:val="000000"/>
          <w:sz w:val="22"/>
          <w:szCs w:val="22"/>
        </w:rPr>
        <w:t>Course Learning Outcomes</w:t>
      </w:r>
    </w:p>
    <w:p w14:paraId="113DB907" w14:textId="77777777" w:rsidR="00380C6F" w:rsidRPr="0071045B" w:rsidRDefault="00380C6F">
      <w:pPr>
        <w:numPr>
          <w:ilvl w:val="0"/>
          <w:numId w:val="3"/>
        </w:num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Students will demonstrate the ability to identify epidemiological information about and select appropriate assessment instruments and treatment strategies </w:t>
      </w:r>
      <w:r w:rsidR="000022E4" w:rsidRPr="0071045B">
        <w:rPr>
          <w:rFonts w:asciiTheme="majorHAnsi" w:eastAsia="Calibri" w:hAnsiTheme="majorHAnsi" w:cstheme="majorHAnsi"/>
          <w:color w:val="000000"/>
          <w:sz w:val="22"/>
          <w:szCs w:val="22"/>
        </w:rPr>
        <w:t xml:space="preserve">for </w:t>
      </w:r>
      <w:r w:rsidRPr="0071045B">
        <w:rPr>
          <w:rFonts w:asciiTheme="majorHAnsi" w:eastAsia="Calibri" w:hAnsiTheme="majorHAnsi" w:cstheme="majorHAnsi"/>
          <w:color w:val="000000"/>
          <w:sz w:val="22"/>
          <w:szCs w:val="22"/>
        </w:rPr>
        <w:t>special populations (generally defined by disability and/or diversity)</w:t>
      </w:r>
      <w:r w:rsidR="000022E4" w:rsidRPr="0071045B">
        <w:rPr>
          <w:rFonts w:asciiTheme="majorHAnsi" w:eastAsia="Calibri" w:hAnsiTheme="majorHAnsi" w:cstheme="majorHAnsi"/>
          <w:color w:val="000000"/>
          <w:sz w:val="22"/>
          <w:szCs w:val="22"/>
        </w:rPr>
        <w:t xml:space="preserve"> (Competency 4)</w:t>
      </w:r>
      <w:r w:rsidRPr="0071045B">
        <w:rPr>
          <w:rFonts w:asciiTheme="majorHAnsi" w:eastAsia="Calibri" w:hAnsiTheme="majorHAnsi" w:cstheme="majorHAnsi"/>
          <w:color w:val="000000"/>
          <w:sz w:val="22"/>
          <w:szCs w:val="22"/>
        </w:rPr>
        <w:t>.</w:t>
      </w:r>
    </w:p>
    <w:p w14:paraId="07EFFB51" w14:textId="03CA6B0F" w:rsidR="00FD5520" w:rsidRPr="0071045B" w:rsidRDefault="000022E4">
      <w:pPr>
        <w:numPr>
          <w:ilvl w:val="0"/>
          <w:numId w:val="3"/>
        </w:num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Students will demonstrate understanding of </w:t>
      </w:r>
      <w:r w:rsidRPr="0071045B">
        <w:rPr>
          <w:rFonts w:asciiTheme="majorHAnsi" w:eastAsia="Calibri" w:hAnsiTheme="majorHAnsi" w:cstheme="majorHAnsi"/>
          <w:sz w:val="22"/>
          <w:szCs w:val="22"/>
        </w:rPr>
        <w:t>legal and ethical, issues associated with assessment and treatment of special populations</w:t>
      </w:r>
      <w:r w:rsidR="009B306A"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sz w:val="22"/>
          <w:szCs w:val="22"/>
        </w:rPr>
        <w:t>(Competency 1)</w:t>
      </w:r>
      <w:r w:rsidR="009B306A" w:rsidRPr="0071045B">
        <w:rPr>
          <w:rFonts w:asciiTheme="majorHAnsi" w:eastAsia="Calibri" w:hAnsiTheme="majorHAnsi" w:cstheme="majorHAnsi"/>
          <w:sz w:val="22"/>
          <w:szCs w:val="22"/>
        </w:rPr>
        <w:t>.</w:t>
      </w:r>
    </w:p>
    <w:p w14:paraId="1C8907A1" w14:textId="6865D809" w:rsidR="00FD5520" w:rsidRPr="0071045B" w:rsidRDefault="000022E4">
      <w:pPr>
        <w:numPr>
          <w:ilvl w:val="0"/>
          <w:numId w:val="3"/>
        </w:num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Students will be able to critically review selected professional, theoretical, and research literature related to </w:t>
      </w:r>
      <w:r w:rsidRPr="0071045B">
        <w:rPr>
          <w:rFonts w:asciiTheme="majorHAnsi" w:eastAsia="Calibri" w:hAnsiTheme="majorHAnsi" w:cstheme="majorHAnsi"/>
          <w:sz w:val="22"/>
          <w:szCs w:val="22"/>
        </w:rPr>
        <w:t>assessment and treatment of special populations</w:t>
      </w:r>
      <w:r w:rsidR="009B306A"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color w:val="000000"/>
          <w:sz w:val="22"/>
          <w:szCs w:val="22"/>
        </w:rPr>
        <w:t>(Competency 6)</w:t>
      </w:r>
      <w:r w:rsidR="009B306A" w:rsidRPr="0071045B">
        <w:rPr>
          <w:rFonts w:asciiTheme="majorHAnsi" w:eastAsia="Calibri" w:hAnsiTheme="majorHAnsi" w:cstheme="majorHAnsi"/>
          <w:color w:val="000000"/>
          <w:sz w:val="22"/>
          <w:szCs w:val="22"/>
        </w:rPr>
        <w:t>.</w:t>
      </w:r>
    </w:p>
    <w:p w14:paraId="4FF65D9D" w14:textId="261DADE2" w:rsidR="00FD5520" w:rsidRPr="0071045B" w:rsidRDefault="000022E4">
      <w:pPr>
        <w:numPr>
          <w:ilvl w:val="0"/>
          <w:numId w:val="3"/>
        </w:num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Students will demonstrate </w:t>
      </w:r>
      <w:r w:rsidRPr="0071045B">
        <w:rPr>
          <w:rFonts w:asciiTheme="majorHAnsi" w:eastAsia="Calibri" w:hAnsiTheme="majorHAnsi" w:cstheme="majorHAnsi"/>
          <w:sz w:val="22"/>
          <w:szCs w:val="22"/>
        </w:rPr>
        <w:t xml:space="preserve">the ability to identify important assessment considerations in working with special populations </w:t>
      </w:r>
      <w:r w:rsidRPr="0071045B">
        <w:rPr>
          <w:rFonts w:asciiTheme="majorHAnsi" w:eastAsia="Calibri" w:hAnsiTheme="majorHAnsi" w:cstheme="majorHAnsi"/>
          <w:color w:val="000000"/>
          <w:sz w:val="22"/>
          <w:szCs w:val="22"/>
        </w:rPr>
        <w:t xml:space="preserve">(Competency </w:t>
      </w:r>
      <w:r w:rsidRPr="0071045B">
        <w:rPr>
          <w:rFonts w:asciiTheme="majorHAnsi" w:eastAsia="Calibri" w:hAnsiTheme="majorHAnsi" w:cstheme="majorHAnsi"/>
          <w:sz w:val="22"/>
          <w:szCs w:val="22"/>
        </w:rPr>
        <w:t>7</w:t>
      </w:r>
      <w:r w:rsidRPr="0071045B">
        <w:rPr>
          <w:rFonts w:asciiTheme="majorHAnsi" w:eastAsia="Calibri" w:hAnsiTheme="majorHAnsi" w:cstheme="majorHAnsi"/>
          <w:color w:val="000000"/>
          <w:sz w:val="22"/>
          <w:szCs w:val="22"/>
        </w:rPr>
        <w:t>)</w:t>
      </w:r>
      <w:r w:rsidR="009B306A" w:rsidRPr="0071045B">
        <w:rPr>
          <w:rFonts w:asciiTheme="majorHAnsi" w:eastAsia="Calibri" w:hAnsiTheme="majorHAnsi" w:cstheme="majorHAnsi"/>
          <w:color w:val="000000"/>
          <w:sz w:val="22"/>
          <w:szCs w:val="22"/>
        </w:rPr>
        <w:t>.</w:t>
      </w:r>
    </w:p>
    <w:p w14:paraId="39723DBB" w14:textId="77777777" w:rsidR="00FD5520" w:rsidRPr="0071045B" w:rsidRDefault="000022E4" w:rsidP="000022E4">
      <w:pPr>
        <w:numPr>
          <w:ilvl w:val="0"/>
          <w:numId w:val="3"/>
        </w:numPr>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will demonstrate the ability to identify important treatment considerations in and a good working knowledge of the professional guidelines for working with special populations (Competency 8</w:t>
      </w:r>
      <w:bookmarkStart w:id="2" w:name="_heading=h.3znysh7" w:colFirst="0" w:colLast="0"/>
      <w:bookmarkEnd w:id="2"/>
      <w:r w:rsidRPr="0071045B">
        <w:rPr>
          <w:rFonts w:asciiTheme="majorHAnsi" w:eastAsia="Calibri" w:hAnsiTheme="majorHAnsi" w:cstheme="majorHAnsi"/>
          <w:sz w:val="22"/>
          <w:szCs w:val="22"/>
        </w:rPr>
        <w:t>).</w:t>
      </w:r>
    </w:p>
    <w:p w14:paraId="6EB705C6" w14:textId="77777777" w:rsidR="000022E4" w:rsidRPr="0071045B" w:rsidRDefault="000022E4" w:rsidP="000022E4">
      <w:pPr>
        <w:rPr>
          <w:rFonts w:asciiTheme="majorHAnsi" w:eastAsia="Calibri" w:hAnsiTheme="majorHAnsi" w:cstheme="majorHAnsi"/>
          <w:sz w:val="22"/>
          <w:szCs w:val="22"/>
        </w:rPr>
      </w:pPr>
    </w:p>
    <w:p w14:paraId="7E656AC5" w14:textId="77777777" w:rsidR="00FD5520" w:rsidRPr="0071045B" w:rsidRDefault="000022E4">
      <w:pPr>
        <w:rPr>
          <w:rFonts w:asciiTheme="majorHAnsi" w:eastAsia="Calibri" w:hAnsiTheme="majorHAnsi" w:cstheme="majorHAnsi"/>
          <w:b/>
          <w:sz w:val="22"/>
          <w:szCs w:val="22"/>
        </w:rPr>
      </w:pPr>
      <w:bookmarkStart w:id="3" w:name="_heading=h.2et92p0" w:colFirst="0" w:colLast="0"/>
      <w:bookmarkEnd w:id="3"/>
      <w:r w:rsidRPr="0071045B">
        <w:rPr>
          <w:rFonts w:asciiTheme="majorHAnsi" w:eastAsia="Calibri" w:hAnsiTheme="majorHAnsi" w:cstheme="majorHAnsi"/>
          <w:b/>
          <w:sz w:val="22"/>
          <w:szCs w:val="22"/>
        </w:rPr>
        <w:t xml:space="preserve">Required Learning Materials </w:t>
      </w:r>
    </w:p>
    <w:p w14:paraId="4F8ECC5A" w14:textId="77777777" w:rsidR="001010CD" w:rsidRPr="0071045B" w:rsidRDefault="000022E4" w:rsidP="001010CD">
      <w:pPr>
        <w:widowControl w:val="0"/>
        <w:rPr>
          <w:rFonts w:asciiTheme="majorHAnsi" w:eastAsia="Calibri" w:hAnsiTheme="majorHAnsi" w:cstheme="majorHAnsi"/>
          <w:i/>
          <w:sz w:val="22"/>
          <w:szCs w:val="22"/>
        </w:rPr>
      </w:pPr>
      <w:r w:rsidRPr="0071045B">
        <w:rPr>
          <w:rFonts w:asciiTheme="majorHAnsi" w:eastAsia="Calibri" w:hAnsiTheme="majorHAnsi" w:cstheme="majorHAnsi"/>
          <w:i/>
          <w:sz w:val="22"/>
          <w:szCs w:val="22"/>
        </w:rPr>
        <w:t>Required Readings</w:t>
      </w:r>
    </w:p>
    <w:p w14:paraId="5408947F" w14:textId="77777777" w:rsidR="001010CD" w:rsidRPr="0071045B" w:rsidRDefault="001010CD" w:rsidP="001010CD">
      <w:pPr>
        <w:widowControl w:val="0"/>
        <w:rPr>
          <w:rFonts w:asciiTheme="majorHAnsi" w:eastAsia="Calibri" w:hAnsiTheme="majorHAnsi" w:cstheme="majorHAnsi"/>
          <w:sz w:val="22"/>
          <w:szCs w:val="22"/>
          <w:lang w:val="haw-US"/>
        </w:rPr>
      </w:pPr>
    </w:p>
    <w:p w14:paraId="13465C91" w14:textId="45C495CD" w:rsidR="00C331A9" w:rsidRPr="0071045B" w:rsidRDefault="009E194D" w:rsidP="001010CD">
      <w:pPr>
        <w:widowControl w:val="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Legal &amp; Historical Foundations</w:t>
      </w:r>
    </w:p>
    <w:p w14:paraId="6830728D" w14:textId="709D1DFF" w:rsidR="009C743F" w:rsidRPr="001A3050" w:rsidRDefault="009C743F" w:rsidP="009C743F">
      <w:pPr>
        <w:widowControl w:val="0"/>
        <w:ind w:left="1440" w:right="-630" w:hanging="720"/>
        <w:rPr>
          <w:rStyle w:val="Hyperlink"/>
          <w:rFonts w:asciiTheme="majorHAnsi" w:eastAsia="Calibri" w:hAnsiTheme="majorHAnsi" w:cstheme="majorHAnsi"/>
          <w:color w:val="000000" w:themeColor="text1"/>
          <w:sz w:val="22"/>
          <w:szCs w:val="22"/>
          <w:u w:val="none"/>
        </w:rPr>
      </w:pPr>
      <w:r w:rsidRPr="0071045B">
        <w:rPr>
          <w:rFonts w:asciiTheme="majorHAnsi" w:eastAsia="Calibri" w:hAnsiTheme="majorHAnsi" w:cstheme="majorHAnsi"/>
          <w:sz w:val="22"/>
          <w:szCs w:val="22"/>
        </w:rPr>
        <w:t xml:space="preserve">American Psychological Association (2019, July). </w:t>
      </w:r>
      <w:r w:rsidRPr="0071045B">
        <w:rPr>
          <w:rFonts w:asciiTheme="majorHAnsi" w:eastAsia="Calibri" w:hAnsiTheme="majorHAnsi" w:cstheme="majorHAnsi"/>
          <w:i/>
          <w:sz w:val="22"/>
          <w:szCs w:val="22"/>
        </w:rPr>
        <w:t>Council policy manual: Special populations policies</w:t>
      </w:r>
      <w:r w:rsidRPr="0071045B">
        <w:rPr>
          <w:rFonts w:asciiTheme="majorHAnsi" w:eastAsia="Calibri" w:hAnsiTheme="majorHAnsi" w:cstheme="majorHAnsi"/>
          <w:sz w:val="22"/>
          <w:szCs w:val="22"/>
        </w:rPr>
        <w:t xml:space="preserve">. </w:t>
      </w:r>
      <w:hyperlink r:id="rId11" w:history="1">
        <w:r w:rsidRPr="0071045B">
          <w:rPr>
            <w:rStyle w:val="Hyperlink"/>
            <w:rFonts w:asciiTheme="majorHAnsi" w:eastAsia="Calibri" w:hAnsiTheme="majorHAnsi" w:cstheme="majorHAnsi"/>
            <w:sz w:val="22"/>
            <w:szCs w:val="22"/>
          </w:rPr>
          <w:t>https://www.apa.org/about/policy/special-populations</w:t>
        </w:r>
      </w:hyperlink>
      <w:r w:rsidR="001A3050">
        <w:rPr>
          <w:rStyle w:val="Hyperlink"/>
          <w:rFonts w:asciiTheme="majorHAnsi" w:eastAsia="Calibri" w:hAnsiTheme="majorHAnsi" w:cstheme="majorHAnsi"/>
          <w:sz w:val="22"/>
          <w:szCs w:val="22"/>
        </w:rPr>
        <w:t xml:space="preserve"> (</w:t>
      </w:r>
      <w:r w:rsidR="001A3050">
        <w:rPr>
          <w:rFonts w:asciiTheme="majorHAnsi" w:eastAsia="Calibri" w:hAnsiTheme="majorHAnsi" w:cstheme="majorHAnsi"/>
          <w:i/>
          <w:sz w:val="22"/>
          <w:szCs w:val="22"/>
        </w:rPr>
        <w:t>This is a resource page – please spend ½ hour perusing)</w:t>
      </w:r>
    </w:p>
    <w:p w14:paraId="0B40F0D8" w14:textId="5698163E" w:rsidR="008E40B5" w:rsidRPr="0071045B" w:rsidRDefault="008E40B5" w:rsidP="008E40B5">
      <w:pPr>
        <w:widowControl w:val="0"/>
        <w:ind w:left="1440" w:right="-630" w:hanging="720"/>
        <w:rPr>
          <w:rFonts w:asciiTheme="majorHAnsi" w:eastAsia="Calibri" w:hAnsiTheme="majorHAnsi" w:cstheme="majorHAnsi"/>
          <w:i/>
          <w:sz w:val="22"/>
          <w:szCs w:val="22"/>
        </w:rPr>
      </w:pPr>
      <w:r w:rsidRPr="0071045B">
        <w:rPr>
          <w:rFonts w:asciiTheme="majorHAnsi" w:eastAsia="Calibri" w:hAnsiTheme="majorHAnsi" w:cstheme="majorHAnsi"/>
          <w:sz w:val="22"/>
          <w:szCs w:val="22"/>
        </w:rPr>
        <w:t>American Psycholo</w:t>
      </w:r>
      <w:r w:rsidR="00A17EDC" w:rsidRPr="0071045B">
        <w:rPr>
          <w:rFonts w:asciiTheme="majorHAnsi" w:eastAsia="Calibri" w:hAnsiTheme="majorHAnsi" w:cstheme="majorHAnsi"/>
          <w:sz w:val="22"/>
          <w:szCs w:val="22"/>
        </w:rPr>
        <w:t xml:space="preserve">gical Association (2019, July). Guidelines for assessment of and intervention with persons with disabilities. </w:t>
      </w:r>
      <w:hyperlink r:id="rId12" w:history="1">
        <w:r w:rsidR="00A17EDC" w:rsidRPr="0071045B">
          <w:rPr>
            <w:rStyle w:val="Hyperlink"/>
            <w:rFonts w:asciiTheme="majorHAnsi" w:eastAsia="Calibri" w:hAnsiTheme="majorHAnsi" w:cstheme="majorHAnsi"/>
            <w:sz w:val="22"/>
            <w:szCs w:val="22"/>
          </w:rPr>
          <w:t>https://www.apa.org/pi/disability/resources/assessment-disabilities</w:t>
        </w:r>
      </w:hyperlink>
    </w:p>
    <w:p w14:paraId="77A8CD9C" w14:textId="77777777" w:rsidR="00A17EDC" w:rsidRPr="0071045B" w:rsidRDefault="00A17EDC" w:rsidP="00A17EDC">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 xml:space="preserve">Kerkhoff, T. R. &amp; Hanson, S. L. (2014). Disability culture: An ethics perspective. In J. Uomoto (Ed.), </w:t>
      </w:r>
      <w:r w:rsidRPr="0071045B">
        <w:rPr>
          <w:rFonts w:asciiTheme="majorHAnsi" w:eastAsia="Calibri" w:hAnsiTheme="majorHAnsi" w:cstheme="majorHAnsi"/>
          <w:i/>
          <w:sz w:val="22"/>
          <w:szCs w:val="22"/>
          <w:lang w:val="haw-US"/>
        </w:rPr>
        <w:t>Multicultural Neurorehabilitation: Clinical Principles for Rehabilitation Professionals</w:t>
      </w:r>
      <w:r w:rsidRPr="0071045B">
        <w:rPr>
          <w:rFonts w:asciiTheme="majorHAnsi" w:eastAsia="Calibri" w:hAnsiTheme="majorHAnsi" w:cstheme="majorHAnsi"/>
          <w:sz w:val="22"/>
          <w:szCs w:val="22"/>
          <w:lang w:val="haw-US"/>
        </w:rPr>
        <w:t xml:space="preserve"> (pp. 169-202). Springer.</w:t>
      </w:r>
    </w:p>
    <w:p w14:paraId="40618DD3" w14:textId="76F482A3" w:rsidR="00891E63" w:rsidRPr="0071045B" w:rsidRDefault="00C331A9">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 xml:space="preserve">Wright, P. W. D. &amp; Wright, P. D. (2007). </w:t>
      </w:r>
      <w:r w:rsidR="001010CD" w:rsidRPr="0071045B">
        <w:rPr>
          <w:rFonts w:asciiTheme="majorHAnsi" w:eastAsia="Calibri" w:hAnsiTheme="majorHAnsi" w:cstheme="majorHAnsi"/>
          <w:sz w:val="22"/>
          <w:szCs w:val="22"/>
          <w:lang w:val="haw-US"/>
        </w:rPr>
        <w:t xml:space="preserve">Chapter 4: </w:t>
      </w:r>
      <w:r w:rsidRPr="0071045B">
        <w:rPr>
          <w:rFonts w:asciiTheme="majorHAnsi" w:eastAsia="Calibri" w:hAnsiTheme="majorHAnsi" w:cstheme="majorHAnsi"/>
          <w:sz w:val="22"/>
          <w:szCs w:val="22"/>
          <w:lang w:val="haw-US"/>
        </w:rPr>
        <w:t xml:space="preserve">An overview of IDEA 2004. </w:t>
      </w:r>
      <w:r w:rsidRPr="0071045B">
        <w:rPr>
          <w:rFonts w:asciiTheme="majorHAnsi" w:eastAsia="Calibri" w:hAnsiTheme="majorHAnsi" w:cstheme="majorHAnsi"/>
          <w:i/>
          <w:sz w:val="22"/>
          <w:szCs w:val="22"/>
          <w:lang w:val="haw-US"/>
        </w:rPr>
        <w:t>Special Education Law, 2nd Edition.</w:t>
      </w:r>
      <w:r w:rsidRPr="0071045B">
        <w:rPr>
          <w:rFonts w:asciiTheme="majorHAnsi" w:eastAsia="Calibri" w:hAnsiTheme="majorHAnsi" w:cstheme="majorHAnsi"/>
          <w:sz w:val="22"/>
          <w:szCs w:val="22"/>
          <w:lang w:val="haw-US"/>
        </w:rPr>
        <w:t xml:space="preserve"> Hartfield, VA:Harbor House Law Press.</w:t>
      </w:r>
    </w:p>
    <w:p w14:paraId="695CB222" w14:textId="77777777" w:rsidR="00A17EDC" w:rsidRPr="0071045B" w:rsidRDefault="00A17EDC">
      <w:pPr>
        <w:widowControl w:val="0"/>
        <w:ind w:left="1440" w:hanging="720"/>
        <w:rPr>
          <w:rFonts w:asciiTheme="majorHAnsi" w:eastAsia="Calibri" w:hAnsiTheme="majorHAnsi" w:cstheme="majorHAnsi"/>
          <w:sz w:val="22"/>
          <w:szCs w:val="22"/>
          <w:lang w:val="haw-US"/>
        </w:rPr>
      </w:pPr>
    </w:p>
    <w:p w14:paraId="72C53987" w14:textId="77777777" w:rsidR="00C272AD" w:rsidRPr="0071045B" w:rsidRDefault="00C272AD" w:rsidP="00C272AD">
      <w:pPr>
        <w:widowControl w:val="0"/>
        <w:ind w:left="720" w:right="-63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Intellectual Disabilities</w:t>
      </w:r>
    </w:p>
    <w:p w14:paraId="133CE828" w14:textId="0DF82FBB" w:rsidR="00C272AD" w:rsidRPr="0071045B" w:rsidRDefault="00C272AD" w:rsidP="00C272AD">
      <w:pPr>
        <w:widowControl w:val="0"/>
        <w:ind w:left="1440" w:right="-630" w:hanging="720"/>
        <w:rPr>
          <w:rFonts w:asciiTheme="majorHAnsi" w:eastAsia="Calibri" w:hAnsiTheme="majorHAnsi" w:cstheme="majorHAnsi"/>
          <w:sz w:val="22"/>
          <w:szCs w:val="22"/>
          <w:lang w:val="haw-US"/>
        </w:rPr>
      </w:pPr>
      <w:proofErr w:type="spellStart"/>
      <w:r w:rsidRPr="0071045B">
        <w:rPr>
          <w:rFonts w:asciiTheme="majorHAnsi" w:eastAsia="Calibri" w:hAnsiTheme="majorHAnsi" w:cstheme="majorHAnsi"/>
          <w:sz w:val="22"/>
          <w:szCs w:val="22"/>
        </w:rPr>
        <w:t>Kamphaus</w:t>
      </w:r>
      <w:proofErr w:type="spellEnd"/>
      <w:r w:rsidRPr="0071045B">
        <w:rPr>
          <w:rFonts w:asciiTheme="majorHAnsi" w:eastAsia="Calibri" w:hAnsiTheme="majorHAnsi" w:cstheme="majorHAnsi"/>
          <w:sz w:val="22"/>
          <w:szCs w:val="22"/>
        </w:rPr>
        <w:t xml:space="preserve">, R. W. &amp; Walden, E. (2020). Intellectual disability. </w:t>
      </w:r>
      <w:r w:rsidRPr="0071045B">
        <w:rPr>
          <w:rFonts w:asciiTheme="majorHAnsi" w:eastAsia="Calibri" w:hAnsiTheme="majorHAnsi" w:cstheme="majorHAnsi"/>
          <w:sz w:val="22"/>
          <w:szCs w:val="22"/>
          <w:lang w:val="haw-US"/>
        </w:rPr>
        <w:t>In Youngstrom, E. A., Prinstein, M. J.,</w:t>
      </w:r>
    </w:p>
    <w:p w14:paraId="22A3009A" w14:textId="0072C1D9" w:rsidR="00C272AD" w:rsidRPr="0071045B" w:rsidRDefault="00C272AD" w:rsidP="00C272AD">
      <w:pPr>
        <w:widowControl w:val="0"/>
        <w:ind w:left="1440" w:right="-63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lastRenderedPageBreak/>
        <w:tab/>
        <w:t xml:space="preserve">Mash, E. J., &amp; Barkley, R.A. </w:t>
      </w:r>
      <w:r w:rsidRPr="0071045B">
        <w:rPr>
          <w:rFonts w:asciiTheme="majorHAnsi" w:eastAsia="Calibri" w:hAnsiTheme="majorHAnsi" w:cstheme="majorHAnsi"/>
          <w:i/>
          <w:sz w:val="22"/>
          <w:szCs w:val="22"/>
          <w:lang w:val="haw-US"/>
        </w:rPr>
        <w:t>Assessment of disorders in childhood and adolescence</w:t>
      </w:r>
      <w:r w:rsidRPr="0071045B">
        <w:rPr>
          <w:rFonts w:asciiTheme="majorHAnsi" w:eastAsia="Calibri" w:hAnsiTheme="majorHAnsi" w:cstheme="majorHAnsi"/>
          <w:sz w:val="22"/>
          <w:szCs w:val="22"/>
          <w:lang w:val="haw-US"/>
        </w:rPr>
        <w:t xml:space="preserve"> (5th ed.,</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sz w:val="22"/>
          <w:szCs w:val="22"/>
          <w:lang w:val="haw-US"/>
        </w:rPr>
        <w:t xml:space="preserve">pp. </w:t>
      </w:r>
      <w:r w:rsidRPr="0071045B">
        <w:rPr>
          <w:rFonts w:asciiTheme="majorHAnsi" w:eastAsia="Calibri" w:hAnsiTheme="majorHAnsi" w:cstheme="majorHAnsi"/>
          <w:sz w:val="22"/>
          <w:szCs w:val="22"/>
        </w:rPr>
        <w:t>358-373</w:t>
      </w:r>
      <w:r w:rsidRPr="0071045B">
        <w:rPr>
          <w:rFonts w:asciiTheme="majorHAnsi" w:eastAsia="Calibri" w:hAnsiTheme="majorHAnsi" w:cstheme="majorHAnsi"/>
          <w:sz w:val="22"/>
          <w:szCs w:val="22"/>
          <w:lang w:val="haw-US"/>
        </w:rPr>
        <w:t>). Guilford Press.</w:t>
      </w:r>
    </w:p>
    <w:p w14:paraId="625AE504" w14:textId="77777777" w:rsidR="00C272AD" w:rsidRPr="0071045B" w:rsidRDefault="00C272AD" w:rsidP="00C272AD">
      <w:pPr>
        <w:widowControl w:val="0"/>
        <w:ind w:left="1440" w:right="-630" w:hanging="720"/>
        <w:rPr>
          <w:rFonts w:asciiTheme="majorHAnsi" w:eastAsia="Calibri" w:hAnsiTheme="majorHAnsi" w:cstheme="majorHAnsi"/>
          <w:sz w:val="22"/>
          <w:szCs w:val="22"/>
        </w:rPr>
      </w:pPr>
    </w:p>
    <w:p w14:paraId="5410B8D2" w14:textId="77777777" w:rsidR="00C272AD" w:rsidRPr="0071045B" w:rsidRDefault="00C272AD" w:rsidP="00C272AD">
      <w:pPr>
        <w:widowControl w:val="0"/>
        <w:ind w:left="1440" w:right="-630" w:hanging="720"/>
        <w:rPr>
          <w:rFonts w:asciiTheme="majorHAnsi" w:eastAsia="Calibri" w:hAnsiTheme="majorHAnsi" w:cstheme="majorHAnsi"/>
          <w:i/>
          <w:sz w:val="22"/>
          <w:szCs w:val="22"/>
          <w:lang w:val="haw-US"/>
        </w:rPr>
      </w:pPr>
      <w:r w:rsidRPr="0071045B">
        <w:rPr>
          <w:rFonts w:asciiTheme="majorHAnsi" w:eastAsia="Calibri" w:hAnsiTheme="majorHAnsi" w:cstheme="majorHAnsi"/>
          <w:i/>
          <w:sz w:val="22"/>
          <w:szCs w:val="22"/>
          <w:lang w:val="haw-US"/>
        </w:rPr>
        <w:t xml:space="preserve">Kennedy-Kreiger Institute. DOI: </w:t>
      </w:r>
      <w:hyperlink r:id="rId13" w:history="1">
        <w:r w:rsidRPr="0071045B">
          <w:rPr>
            <w:rStyle w:val="Hyperlink"/>
            <w:rFonts w:asciiTheme="majorHAnsi" w:eastAsia="Calibri" w:hAnsiTheme="majorHAnsi" w:cstheme="majorHAnsi"/>
            <w:i/>
            <w:sz w:val="22"/>
            <w:szCs w:val="22"/>
            <w:lang w:val="haw-US"/>
          </w:rPr>
          <w:t>https://www.kennedykrieger.org/patient-care/conditions/genetic-metabolic-chromosomal-disorders</w:t>
        </w:r>
      </w:hyperlink>
    </w:p>
    <w:p w14:paraId="328340CE" w14:textId="77777777" w:rsidR="00C272AD" w:rsidRPr="0071045B" w:rsidRDefault="00C272AD" w:rsidP="00C272AD">
      <w:pPr>
        <w:widowControl w:val="0"/>
        <w:ind w:left="1440" w:right="-630" w:hanging="720"/>
        <w:rPr>
          <w:rFonts w:asciiTheme="majorHAnsi" w:eastAsia="Calibri" w:hAnsiTheme="majorHAnsi" w:cstheme="majorHAnsi"/>
          <w:i/>
          <w:sz w:val="22"/>
          <w:szCs w:val="22"/>
          <w:lang w:val="haw-US"/>
        </w:rPr>
      </w:pPr>
      <w:r w:rsidRPr="0071045B">
        <w:rPr>
          <w:rFonts w:asciiTheme="majorHAnsi" w:eastAsia="Calibri" w:hAnsiTheme="majorHAnsi" w:cstheme="majorHAnsi"/>
          <w:sz w:val="22"/>
          <w:szCs w:val="22"/>
          <w:lang w:val="haw-US"/>
        </w:rPr>
        <w:t xml:space="preserve">Simon, T. J. (2007). Cognitive characteristics of children with genetic syndromes. </w:t>
      </w:r>
      <w:r w:rsidRPr="0071045B">
        <w:rPr>
          <w:rFonts w:asciiTheme="majorHAnsi" w:eastAsia="Calibri" w:hAnsiTheme="majorHAnsi" w:cstheme="majorHAnsi"/>
          <w:i/>
          <w:sz w:val="22"/>
          <w:szCs w:val="22"/>
          <w:lang w:val="haw-US"/>
        </w:rPr>
        <w:t xml:space="preserve">Child and Adolescent </w:t>
      </w:r>
    </w:p>
    <w:p w14:paraId="7059E09F" w14:textId="77777777" w:rsidR="00C272AD" w:rsidRPr="0071045B" w:rsidRDefault="00C272AD" w:rsidP="00C272AD">
      <w:pPr>
        <w:widowControl w:val="0"/>
        <w:ind w:left="1440" w:right="-630" w:hanging="720"/>
        <w:rPr>
          <w:rFonts w:asciiTheme="majorHAnsi" w:eastAsia="Calibri" w:hAnsiTheme="majorHAnsi" w:cstheme="majorHAnsi"/>
          <w:sz w:val="22"/>
          <w:szCs w:val="22"/>
          <w:lang w:val="haw-US"/>
        </w:rPr>
      </w:pPr>
      <w:r w:rsidRPr="0071045B">
        <w:rPr>
          <w:rFonts w:asciiTheme="majorHAnsi" w:eastAsia="Calibri" w:hAnsiTheme="majorHAnsi" w:cstheme="majorHAnsi"/>
          <w:i/>
          <w:sz w:val="22"/>
          <w:szCs w:val="22"/>
          <w:lang w:val="haw-US"/>
        </w:rPr>
        <w:tab/>
        <w:t>Psychiatric Clinics of North America</w:t>
      </w:r>
      <w:r w:rsidRPr="0071045B">
        <w:rPr>
          <w:rFonts w:asciiTheme="majorHAnsi" w:eastAsia="Calibri" w:hAnsiTheme="majorHAnsi" w:cstheme="majorHAnsi"/>
          <w:sz w:val="22"/>
          <w:szCs w:val="22"/>
          <w:lang w:val="haw-US"/>
        </w:rPr>
        <w:t xml:space="preserve">, </w:t>
      </w:r>
      <w:r w:rsidRPr="0071045B">
        <w:rPr>
          <w:rFonts w:asciiTheme="majorHAnsi" w:eastAsia="Calibri" w:hAnsiTheme="majorHAnsi" w:cstheme="majorHAnsi"/>
          <w:i/>
          <w:sz w:val="22"/>
          <w:szCs w:val="22"/>
          <w:lang w:val="haw-US"/>
        </w:rPr>
        <w:t>16</w:t>
      </w:r>
      <w:r w:rsidRPr="0071045B">
        <w:rPr>
          <w:rFonts w:asciiTheme="majorHAnsi" w:eastAsia="Calibri" w:hAnsiTheme="majorHAnsi" w:cstheme="majorHAnsi"/>
          <w:sz w:val="22"/>
          <w:szCs w:val="22"/>
          <w:lang w:val="haw-US"/>
        </w:rPr>
        <w:t>(3), 599-616.</w:t>
      </w:r>
    </w:p>
    <w:p w14:paraId="77F12E05" w14:textId="32917C39" w:rsidR="005E317E" w:rsidRPr="0071045B" w:rsidRDefault="00C272AD" w:rsidP="009C743F">
      <w:pPr>
        <w:widowControl w:val="0"/>
        <w:ind w:left="1440" w:right="-63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Sue, D. W., Sue, D., Neville, H. A., &amp; Smith, L. (2019) Counseling individuals with disabilities. In D. Sue, D. </w:t>
      </w:r>
      <w:proofErr w:type="gramStart"/>
      <w:r w:rsidRPr="0071045B">
        <w:rPr>
          <w:rFonts w:asciiTheme="majorHAnsi" w:eastAsia="Calibri" w:hAnsiTheme="majorHAnsi" w:cstheme="majorHAnsi"/>
          <w:sz w:val="22"/>
          <w:szCs w:val="22"/>
        </w:rPr>
        <w:t xml:space="preserve">Sue,   </w:t>
      </w:r>
      <w:proofErr w:type="gramEnd"/>
      <w:r w:rsidRPr="0071045B">
        <w:rPr>
          <w:rFonts w:asciiTheme="majorHAnsi" w:eastAsia="Calibri" w:hAnsiTheme="majorHAnsi" w:cstheme="majorHAnsi"/>
          <w:sz w:val="22"/>
          <w:szCs w:val="22"/>
        </w:rPr>
        <w:t xml:space="preserve">H. Neville, and L. Smith (Eds.), </w:t>
      </w:r>
      <w:r w:rsidRPr="0071045B">
        <w:rPr>
          <w:rFonts w:asciiTheme="majorHAnsi" w:eastAsia="Calibri" w:hAnsiTheme="majorHAnsi" w:cstheme="majorHAnsi"/>
          <w:i/>
          <w:sz w:val="22"/>
          <w:szCs w:val="22"/>
        </w:rPr>
        <w:t>Counseling the Culturally Diverse: Theory and practice</w:t>
      </w:r>
      <w:r w:rsidRPr="0071045B">
        <w:rPr>
          <w:rFonts w:asciiTheme="majorHAnsi" w:eastAsia="Calibri" w:hAnsiTheme="majorHAnsi" w:cstheme="majorHAnsi"/>
          <w:sz w:val="22"/>
          <w:szCs w:val="22"/>
        </w:rPr>
        <w:t xml:space="preserve"> (8</w:t>
      </w:r>
      <w:r w:rsidRPr="0071045B">
        <w:rPr>
          <w:rFonts w:asciiTheme="majorHAnsi" w:eastAsia="Calibri" w:hAnsiTheme="majorHAnsi" w:cstheme="majorHAnsi"/>
          <w:sz w:val="22"/>
          <w:szCs w:val="22"/>
          <w:vertAlign w:val="superscript"/>
        </w:rPr>
        <w:t>th</w:t>
      </w:r>
      <w:r w:rsidRPr="0071045B">
        <w:rPr>
          <w:rFonts w:asciiTheme="majorHAnsi" w:eastAsia="Calibri" w:hAnsiTheme="majorHAnsi" w:cstheme="majorHAnsi"/>
          <w:sz w:val="22"/>
          <w:szCs w:val="22"/>
        </w:rPr>
        <w:t xml:space="preserve"> ed.,               pp. 425-440). Wiley.</w:t>
      </w:r>
    </w:p>
    <w:p w14:paraId="12576F46" w14:textId="77777777" w:rsidR="009C743F" w:rsidRPr="0071045B" w:rsidRDefault="009C743F" w:rsidP="009C743F">
      <w:pPr>
        <w:widowControl w:val="0"/>
        <w:ind w:left="1440" w:right="-630" w:hanging="720"/>
        <w:rPr>
          <w:rFonts w:asciiTheme="majorHAnsi" w:eastAsia="Calibri" w:hAnsiTheme="majorHAnsi" w:cstheme="majorHAnsi"/>
          <w:sz w:val="22"/>
          <w:szCs w:val="22"/>
        </w:rPr>
      </w:pPr>
    </w:p>
    <w:p w14:paraId="22F190CC" w14:textId="77777777" w:rsidR="00DC5C3C" w:rsidRPr="0071045B" w:rsidRDefault="00DC5C3C" w:rsidP="00DC5C3C">
      <w:pPr>
        <w:widowControl w:val="0"/>
        <w:ind w:left="720" w:hanging="720"/>
        <w:rPr>
          <w:rFonts w:asciiTheme="majorHAnsi" w:eastAsia="Calibri" w:hAnsiTheme="majorHAnsi" w:cstheme="majorHAnsi"/>
          <w:sz w:val="22"/>
          <w:szCs w:val="22"/>
          <w:u w:val="single"/>
          <w:lang w:val="haw-US"/>
        </w:rPr>
      </w:pPr>
      <w:r w:rsidRPr="0071045B">
        <w:rPr>
          <w:rFonts w:asciiTheme="majorHAnsi" w:eastAsia="Calibri" w:hAnsiTheme="majorHAnsi" w:cstheme="majorHAnsi"/>
          <w:sz w:val="22"/>
          <w:szCs w:val="22"/>
          <w:u w:val="single"/>
          <w:lang w:val="haw-US"/>
        </w:rPr>
        <w:t xml:space="preserve">Blind </w:t>
      </w:r>
    </w:p>
    <w:p w14:paraId="501DDD60" w14:textId="77E8707E" w:rsidR="00444287" w:rsidRDefault="00220F2D" w:rsidP="00DC5C3C">
      <w:pPr>
        <w:widowControl w:val="0"/>
        <w:ind w:left="1440" w:hanging="720"/>
        <w:rPr>
          <w:rFonts w:asciiTheme="majorHAnsi" w:eastAsia="Calibri" w:hAnsiTheme="majorHAnsi" w:cstheme="majorHAnsi"/>
          <w:sz w:val="22"/>
          <w:szCs w:val="22"/>
        </w:rPr>
      </w:pPr>
      <w:proofErr w:type="spellStart"/>
      <w:r>
        <w:rPr>
          <w:rFonts w:asciiTheme="majorHAnsi" w:eastAsia="Calibri" w:hAnsiTheme="majorHAnsi" w:cstheme="majorHAnsi"/>
          <w:sz w:val="22"/>
          <w:szCs w:val="22"/>
        </w:rPr>
        <w:t>Cassar</w:t>
      </w:r>
      <w:proofErr w:type="spellEnd"/>
      <w:r w:rsidR="00444287">
        <w:rPr>
          <w:rFonts w:asciiTheme="majorHAnsi" w:eastAsia="Calibri" w:hAnsiTheme="majorHAnsi" w:cstheme="majorHAnsi"/>
          <w:sz w:val="22"/>
          <w:szCs w:val="22"/>
        </w:rPr>
        <w:t xml:space="preserve">, C. &amp; </w:t>
      </w:r>
      <w:proofErr w:type="spellStart"/>
      <w:r w:rsidR="00444287">
        <w:rPr>
          <w:rFonts w:asciiTheme="majorHAnsi" w:eastAsia="Calibri" w:hAnsiTheme="majorHAnsi" w:cstheme="majorHAnsi"/>
          <w:sz w:val="22"/>
          <w:szCs w:val="22"/>
        </w:rPr>
        <w:t>Lucchese</w:t>
      </w:r>
      <w:proofErr w:type="spellEnd"/>
      <w:r w:rsidR="00444287">
        <w:rPr>
          <w:rFonts w:asciiTheme="majorHAnsi" w:eastAsia="Calibri" w:hAnsiTheme="majorHAnsi" w:cstheme="majorHAnsi"/>
          <w:sz w:val="22"/>
          <w:szCs w:val="22"/>
        </w:rPr>
        <w:t xml:space="preserve">, F. (2016). Psychometric test for blind adults and children: Critical issues and perspectives. </w:t>
      </w:r>
      <w:r w:rsidR="00444287" w:rsidRPr="00444287">
        <w:rPr>
          <w:rFonts w:asciiTheme="majorHAnsi" w:eastAsia="Calibri" w:hAnsiTheme="majorHAnsi" w:cstheme="majorHAnsi"/>
          <w:i/>
          <w:sz w:val="22"/>
          <w:szCs w:val="22"/>
        </w:rPr>
        <w:t>International Journal of Developmental and Educational Psychology</w:t>
      </w:r>
      <w:r w:rsidR="00444287">
        <w:rPr>
          <w:rFonts w:asciiTheme="majorHAnsi" w:eastAsia="Calibri" w:hAnsiTheme="majorHAnsi" w:cstheme="majorHAnsi"/>
          <w:sz w:val="22"/>
          <w:szCs w:val="22"/>
        </w:rPr>
        <w:t xml:space="preserve">, </w:t>
      </w:r>
      <w:r w:rsidR="00444287" w:rsidRPr="00444287">
        <w:rPr>
          <w:rFonts w:asciiTheme="majorHAnsi" w:eastAsia="Calibri" w:hAnsiTheme="majorHAnsi" w:cstheme="majorHAnsi"/>
          <w:i/>
          <w:sz w:val="22"/>
          <w:szCs w:val="22"/>
        </w:rPr>
        <w:t>2</w:t>
      </w:r>
      <w:r w:rsidR="00444287">
        <w:rPr>
          <w:rFonts w:asciiTheme="majorHAnsi" w:eastAsia="Calibri" w:hAnsiTheme="majorHAnsi" w:cstheme="majorHAnsi"/>
          <w:sz w:val="22"/>
          <w:szCs w:val="22"/>
        </w:rPr>
        <w:t>, 109-116.</w:t>
      </w:r>
    </w:p>
    <w:p w14:paraId="284C9DFB" w14:textId="24C295C0" w:rsidR="00DC5C3C" w:rsidRPr="0071045B" w:rsidRDefault="00DC5C3C" w:rsidP="00DC5C3C">
      <w:pPr>
        <w:widowControl w:val="0"/>
        <w:ind w:left="1440" w:hanging="720"/>
        <w:rPr>
          <w:rFonts w:asciiTheme="majorHAnsi" w:eastAsia="Calibri" w:hAnsiTheme="majorHAnsi" w:cstheme="majorHAnsi"/>
          <w:sz w:val="22"/>
          <w:szCs w:val="22"/>
        </w:rPr>
      </w:pPr>
      <w:proofErr w:type="spellStart"/>
      <w:r w:rsidRPr="0071045B">
        <w:rPr>
          <w:rFonts w:asciiTheme="majorHAnsi" w:eastAsia="Calibri" w:hAnsiTheme="majorHAnsi" w:cstheme="majorHAnsi"/>
          <w:sz w:val="22"/>
          <w:szCs w:val="22"/>
        </w:rPr>
        <w:t>Mazella</w:t>
      </w:r>
      <w:proofErr w:type="spellEnd"/>
      <w:r w:rsidRPr="0071045B">
        <w:rPr>
          <w:rFonts w:asciiTheme="majorHAnsi" w:eastAsia="Calibri" w:hAnsiTheme="majorHAnsi" w:cstheme="majorHAnsi"/>
          <w:sz w:val="22"/>
          <w:szCs w:val="22"/>
        </w:rPr>
        <w:t xml:space="preserve">, A., </w:t>
      </w:r>
      <w:proofErr w:type="spellStart"/>
      <w:r w:rsidRPr="0071045B">
        <w:rPr>
          <w:rFonts w:asciiTheme="majorHAnsi" w:eastAsia="Calibri" w:hAnsiTheme="majorHAnsi" w:cstheme="majorHAnsi"/>
          <w:sz w:val="22"/>
          <w:szCs w:val="22"/>
        </w:rPr>
        <w:t>Albaret</w:t>
      </w:r>
      <w:proofErr w:type="spellEnd"/>
      <w:r w:rsidRPr="0071045B">
        <w:rPr>
          <w:rFonts w:asciiTheme="majorHAnsi" w:eastAsia="Calibri" w:hAnsiTheme="majorHAnsi" w:cstheme="majorHAnsi"/>
          <w:sz w:val="22"/>
          <w:szCs w:val="22"/>
        </w:rPr>
        <w:t xml:space="preserve">, J., &amp; Picard, D. (2014). Haptic tests for use with children and adults with visual impairments: A literature review. </w:t>
      </w:r>
      <w:r w:rsidRPr="0071045B">
        <w:rPr>
          <w:rFonts w:asciiTheme="majorHAnsi" w:eastAsia="Calibri" w:hAnsiTheme="majorHAnsi" w:cstheme="majorHAnsi"/>
          <w:i/>
          <w:sz w:val="22"/>
          <w:szCs w:val="22"/>
        </w:rPr>
        <w:t>Journal of Visual Impairment and Blindness</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108</w:t>
      </w:r>
      <w:r w:rsidRPr="0071045B">
        <w:rPr>
          <w:rFonts w:asciiTheme="majorHAnsi" w:eastAsia="Calibri" w:hAnsiTheme="majorHAnsi" w:cstheme="majorHAnsi"/>
          <w:sz w:val="22"/>
          <w:szCs w:val="22"/>
        </w:rPr>
        <w:t>(3), 227-237.</w:t>
      </w:r>
    </w:p>
    <w:p w14:paraId="4C1E1167" w14:textId="77777777" w:rsidR="00DC5C3C" w:rsidRPr="0071045B" w:rsidRDefault="00DC5C3C" w:rsidP="00DC5C3C">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 xml:space="preserve">Silverman, A. M. &amp; Bell, E. C. (2018). The association between braille reading history and well-being for blind adults. </w:t>
      </w:r>
      <w:r w:rsidRPr="0071045B">
        <w:rPr>
          <w:rFonts w:asciiTheme="majorHAnsi" w:eastAsia="Calibri" w:hAnsiTheme="majorHAnsi" w:cstheme="majorHAnsi"/>
          <w:i/>
          <w:sz w:val="22"/>
          <w:szCs w:val="22"/>
          <w:lang w:val="haw-US"/>
        </w:rPr>
        <w:t>Journal of Blindness Innovation Research</w:t>
      </w:r>
      <w:r w:rsidRPr="0071045B">
        <w:rPr>
          <w:rFonts w:asciiTheme="majorHAnsi" w:eastAsia="Calibri" w:hAnsiTheme="majorHAnsi" w:cstheme="majorHAnsi"/>
          <w:sz w:val="22"/>
          <w:szCs w:val="22"/>
          <w:lang w:val="haw-US"/>
        </w:rPr>
        <w:t xml:space="preserve">, </w:t>
      </w:r>
      <w:r w:rsidRPr="0071045B">
        <w:rPr>
          <w:rFonts w:asciiTheme="majorHAnsi" w:eastAsia="Calibri" w:hAnsiTheme="majorHAnsi" w:cstheme="majorHAnsi"/>
          <w:i/>
          <w:sz w:val="22"/>
          <w:szCs w:val="22"/>
          <w:lang w:val="haw-US"/>
        </w:rPr>
        <w:t>8</w:t>
      </w:r>
      <w:r w:rsidRPr="0071045B">
        <w:rPr>
          <w:rFonts w:asciiTheme="majorHAnsi" w:eastAsia="Calibri" w:hAnsiTheme="majorHAnsi" w:cstheme="majorHAnsi"/>
          <w:sz w:val="22"/>
          <w:szCs w:val="22"/>
          <w:lang w:val="haw-US"/>
        </w:rPr>
        <w:t>(1).</w:t>
      </w:r>
    </w:p>
    <w:p w14:paraId="6A5718D0" w14:textId="77777777" w:rsidR="005E317E" w:rsidRPr="0071045B" w:rsidRDefault="005E317E" w:rsidP="0047306C">
      <w:pPr>
        <w:widowControl w:val="0"/>
        <w:ind w:left="720" w:hanging="720"/>
        <w:rPr>
          <w:rFonts w:asciiTheme="majorHAnsi" w:eastAsia="Calibri" w:hAnsiTheme="majorHAnsi" w:cstheme="majorHAnsi"/>
          <w:sz w:val="22"/>
          <w:szCs w:val="22"/>
          <w:lang w:val="haw-US"/>
        </w:rPr>
      </w:pPr>
    </w:p>
    <w:p w14:paraId="4314BF0E" w14:textId="723D6418" w:rsidR="006B3533" w:rsidRPr="0071045B" w:rsidRDefault="006B3533" w:rsidP="0047306C">
      <w:pPr>
        <w:widowControl w:val="0"/>
        <w:ind w:left="720" w:hanging="720"/>
        <w:rPr>
          <w:rFonts w:asciiTheme="majorHAnsi" w:eastAsia="Calibri" w:hAnsiTheme="majorHAnsi" w:cstheme="majorHAnsi"/>
          <w:sz w:val="22"/>
          <w:szCs w:val="22"/>
          <w:u w:val="single"/>
          <w:lang w:val="haw-US"/>
        </w:rPr>
      </w:pPr>
      <w:r w:rsidRPr="0071045B">
        <w:rPr>
          <w:rFonts w:asciiTheme="majorHAnsi" w:eastAsia="Calibri" w:hAnsiTheme="majorHAnsi" w:cstheme="majorHAnsi"/>
          <w:sz w:val="22"/>
          <w:szCs w:val="22"/>
          <w:u w:val="single"/>
          <w:lang w:val="haw-US"/>
        </w:rPr>
        <w:t xml:space="preserve">Deaf </w:t>
      </w:r>
      <w:r w:rsidR="00DC5C3C" w:rsidRPr="0071045B">
        <w:rPr>
          <w:rFonts w:asciiTheme="majorHAnsi" w:eastAsia="Calibri" w:hAnsiTheme="majorHAnsi" w:cstheme="majorHAnsi"/>
          <w:sz w:val="22"/>
          <w:szCs w:val="22"/>
          <w:u w:val="single"/>
        </w:rPr>
        <w:t>or</w:t>
      </w:r>
      <w:r w:rsidRPr="0071045B">
        <w:rPr>
          <w:rFonts w:asciiTheme="majorHAnsi" w:eastAsia="Calibri" w:hAnsiTheme="majorHAnsi" w:cstheme="majorHAnsi"/>
          <w:sz w:val="22"/>
          <w:szCs w:val="22"/>
          <w:u w:val="single"/>
          <w:lang w:val="haw-US"/>
        </w:rPr>
        <w:t xml:space="preserve"> Hard of Hearing</w:t>
      </w:r>
    </w:p>
    <w:p w14:paraId="2BC3DD5E" w14:textId="5718CAAE" w:rsidR="00017173" w:rsidRPr="0071045B" w:rsidRDefault="00017173" w:rsidP="006B3533">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Crump, C. J. &amp; Hamerdinger, S. H. (2017). Understanding etiology of hearing loss</w:t>
      </w:r>
      <w:r w:rsidR="009B306A"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sz w:val="22"/>
          <w:szCs w:val="22"/>
          <w:lang w:val="haw-US"/>
        </w:rPr>
        <w:t xml:space="preserve">as a contributor to language dysfluency and its impact on assessment and treatment of people who are deaf in mental health settings. </w:t>
      </w:r>
      <w:r w:rsidRPr="0071045B">
        <w:rPr>
          <w:rFonts w:asciiTheme="majorHAnsi" w:eastAsia="Calibri" w:hAnsiTheme="majorHAnsi" w:cstheme="majorHAnsi"/>
          <w:i/>
          <w:sz w:val="22"/>
          <w:szCs w:val="22"/>
          <w:lang w:val="haw-US"/>
        </w:rPr>
        <w:t>Community Mental Health Journal</w:t>
      </w:r>
      <w:r w:rsidRPr="0071045B">
        <w:rPr>
          <w:rFonts w:asciiTheme="majorHAnsi" w:eastAsia="Calibri" w:hAnsiTheme="majorHAnsi" w:cstheme="majorHAnsi"/>
          <w:sz w:val="22"/>
          <w:szCs w:val="22"/>
          <w:lang w:val="haw-US"/>
        </w:rPr>
        <w:t xml:space="preserve">, </w:t>
      </w:r>
      <w:r w:rsidRPr="0071045B">
        <w:rPr>
          <w:rFonts w:asciiTheme="majorHAnsi" w:eastAsia="Calibri" w:hAnsiTheme="majorHAnsi" w:cstheme="majorHAnsi"/>
          <w:i/>
          <w:sz w:val="22"/>
          <w:szCs w:val="22"/>
          <w:lang w:val="haw-US"/>
        </w:rPr>
        <w:t>53</w:t>
      </w:r>
      <w:r w:rsidRPr="0071045B">
        <w:rPr>
          <w:rFonts w:asciiTheme="majorHAnsi" w:eastAsia="Calibri" w:hAnsiTheme="majorHAnsi" w:cstheme="majorHAnsi"/>
          <w:sz w:val="22"/>
          <w:szCs w:val="22"/>
          <w:lang w:val="haw-US"/>
        </w:rPr>
        <w:t>, 922-928.</w:t>
      </w:r>
    </w:p>
    <w:p w14:paraId="3624980C" w14:textId="18FF5FCF" w:rsidR="00017173" w:rsidRPr="0071045B" w:rsidRDefault="00A31578" w:rsidP="006B3533">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 xml:space="preserve">Pollard, R. Q. (1996). </w:t>
      </w:r>
      <w:r w:rsidR="00017173" w:rsidRPr="0071045B">
        <w:rPr>
          <w:rFonts w:asciiTheme="majorHAnsi" w:eastAsia="Calibri" w:hAnsiTheme="majorHAnsi" w:cstheme="majorHAnsi"/>
          <w:sz w:val="22"/>
          <w:szCs w:val="22"/>
          <w:lang w:val="haw-US"/>
        </w:rPr>
        <w:t xml:space="preserve">Professional psychology of deaf people. </w:t>
      </w:r>
      <w:r w:rsidR="00017173" w:rsidRPr="0071045B">
        <w:rPr>
          <w:rFonts w:asciiTheme="majorHAnsi" w:eastAsia="Calibri" w:hAnsiTheme="majorHAnsi" w:cstheme="majorHAnsi"/>
          <w:i/>
          <w:sz w:val="22"/>
          <w:szCs w:val="22"/>
          <w:lang w:val="haw-US"/>
        </w:rPr>
        <w:t>American Psychologist</w:t>
      </w:r>
      <w:r w:rsidR="00017173" w:rsidRPr="0071045B">
        <w:rPr>
          <w:rFonts w:asciiTheme="majorHAnsi" w:eastAsia="Calibri" w:hAnsiTheme="majorHAnsi" w:cstheme="majorHAnsi"/>
          <w:sz w:val="22"/>
          <w:szCs w:val="22"/>
          <w:lang w:val="haw-US"/>
        </w:rPr>
        <w:t xml:space="preserve">, </w:t>
      </w:r>
      <w:r w:rsidR="00017173" w:rsidRPr="0071045B">
        <w:rPr>
          <w:rFonts w:asciiTheme="majorHAnsi" w:eastAsia="Calibri" w:hAnsiTheme="majorHAnsi" w:cstheme="majorHAnsi"/>
          <w:i/>
          <w:sz w:val="22"/>
          <w:szCs w:val="22"/>
          <w:lang w:val="haw-US"/>
        </w:rPr>
        <w:t>51</w:t>
      </w:r>
      <w:r w:rsidR="00017173" w:rsidRPr="0071045B">
        <w:rPr>
          <w:rFonts w:asciiTheme="majorHAnsi" w:eastAsia="Calibri" w:hAnsiTheme="majorHAnsi" w:cstheme="majorHAnsi"/>
          <w:sz w:val="22"/>
          <w:szCs w:val="22"/>
          <w:lang w:val="haw-US"/>
        </w:rPr>
        <w:t>(4), 389-396.</w:t>
      </w:r>
    </w:p>
    <w:p w14:paraId="6E60CBA7" w14:textId="4AAC60A7" w:rsidR="001010CD" w:rsidRDefault="006B3533">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 xml:space="preserve">Sattler, J. M., Hardy-Braz, S. T., &amp; Willis, J. O. (2006). Hearing impairments. In J. Sattler &amp; R. D. Hoge (Eds.) </w:t>
      </w:r>
      <w:r w:rsidRPr="0071045B">
        <w:rPr>
          <w:rFonts w:asciiTheme="majorHAnsi" w:eastAsia="Calibri" w:hAnsiTheme="majorHAnsi" w:cstheme="majorHAnsi"/>
          <w:i/>
          <w:sz w:val="22"/>
          <w:szCs w:val="22"/>
          <w:lang w:val="haw-US"/>
        </w:rPr>
        <w:t>Assessment of Children: Behavioral, Social, and Clinical Foundations</w:t>
      </w:r>
      <w:r w:rsidRPr="0071045B">
        <w:rPr>
          <w:rFonts w:asciiTheme="majorHAnsi" w:eastAsia="Calibri" w:hAnsiTheme="majorHAnsi" w:cstheme="majorHAnsi"/>
          <w:sz w:val="22"/>
          <w:szCs w:val="22"/>
          <w:lang w:val="haw-US"/>
        </w:rPr>
        <w:t xml:space="preserve"> (5th ed.). Jerome M. Sattler.</w:t>
      </w:r>
    </w:p>
    <w:p w14:paraId="2B853535" w14:textId="050FD007" w:rsidR="004B3018" w:rsidRPr="004B3018" w:rsidRDefault="004B3018">
      <w:pPr>
        <w:widowControl w:val="0"/>
        <w:ind w:left="1440" w:hanging="720"/>
        <w:rPr>
          <w:rFonts w:asciiTheme="majorHAnsi" w:eastAsia="Calibri" w:hAnsiTheme="majorHAnsi" w:cstheme="majorHAnsi"/>
          <w:sz w:val="22"/>
          <w:szCs w:val="22"/>
        </w:rPr>
      </w:pPr>
      <w:r>
        <w:rPr>
          <w:rFonts w:asciiTheme="majorHAnsi" w:eastAsia="Calibri" w:hAnsiTheme="majorHAnsi" w:cstheme="majorHAnsi"/>
          <w:sz w:val="22"/>
          <w:szCs w:val="22"/>
        </w:rPr>
        <w:t xml:space="preserve">Wilson, </w:t>
      </w:r>
      <w:r w:rsidR="003E5B60">
        <w:rPr>
          <w:rFonts w:asciiTheme="majorHAnsi" w:eastAsia="Calibri" w:hAnsiTheme="majorHAnsi" w:cstheme="majorHAnsi"/>
          <w:sz w:val="22"/>
          <w:szCs w:val="22"/>
        </w:rPr>
        <w:t xml:space="preserve">J. A. &amp; </w:t>
      </w:r>
      <w:proofErr w:type="spellStart"/>
      <w:r w:rsidR="003E5B60">
        <w:rPr>
          <w:rFonts w:asciiTheme="majorHAnsi" w:eastAsia="Calibri" w:hAnsiTheme="majorHAnsi" w:cstheme="majorHAnsi"/>
          <w:sz w:val="22"/>
          <w:szCs w:val="22"/>
        </w:rPr>
        <w:t>Schild</w:t>
      </w:r>
      <w:proofErr w:type="spellEnd"/>
      <w:r w:rsidR="003E5B60">
        <w:rPr>
          <w:rFonts w:asciiTheme="majorHAnsi" w:eastAsia="Calibri" w:hAnsiTheme="majorHAnsi" w:cstheme="majorHAnsi"/>
          <w:sz w:val="22"/>
          <w:szCs w:val="22"/>
        </w:rPr>
        <w:t xml:space="preserve">, S. (2014). Provision of mental health care services to deaf individuals using telehealth. </w:t>
      </w:r>
      <w:r w:rsidR="003E5B60" w:rsidRPr="003E5B60">
        <w:rPr>
          <w:rFonts w:asciiTheme="majorHAnsi" w:eastAsia="Calibri" w:hAnsiTheme="majorHAnsi" w:cstheme="majorHAnsi"/>
          <w:i/>
          <w:sz w:val="22"/>
          <w:szCs w:val="22"/>
        </w:rPr>
        <w:t>Professional Psychology: Research and Practice</w:t>
      </w:r>
      <w:r w:rsidR="003E5B60">
        <w:rPr>
          <w:rFonts w:asciiTheme="majorHAnsi" w:eastAsia="Calibri" w:hAnsiTheme="majorHAnsi" w:cstheme="majorHAnsi"/>
          <w:sz w:val="22"/>
          <w:szCs w:val="22"/>
        </w:rPr>
        <w:t xml:space="preserve">, </w:t>
      </w:r>
      <w:r w:rsidR="003E5B60" w:rsidRPr="003E5B60">
        <w:rPr>
          <w:rFonts w:asciiTheme="majorHAnsi" w:eastAsia="Calibri" w:hAnsiTheme="majorHAnsi" w:cstheme="majorHAnsi"/>
          <w:i/>
          <w:sz w:val="22"/>
          <w:szCs w:val="22"/>
        </w:rPr>
        <w:t>45</w:t>
      </w:r>
      <w:r w:rsidR="003E5B60">
        <w:rPr>
          <w:rFonts w:asciiTheme="majorHAnsi" w:eastAsia="Calibri" w:hAnsiTheme="majorHAnsi" w:cstheme="majorHAnsi"/>
          <w:sz w:val="22"/>
          <w:szCs w:val="22"/>
        </w:rPr>
        <w:t>(5), 324-331.</w:t>
      </w:r>
    </w:p>
    <w:p w14:paraId="48DDF001" w14:textId="054D451C" w:rsidR="00C874C7" w:rsidRPr="0071045B" w:rsidRDefault="00C874C7">
      <w:pPr>
        <w:widowControl w:val="0"/>
        <w:ind w:left="1440" w:hanging="720"/>
        <w:rPr>
          <w:rFonts w:asciiTheme="majorHAnsi" w:eastAsia="Calibri" w:hAnsiTheme="majorHAnsi" w:cstheme="majorHAnsi"/>
          <w:sz w:val="22"/>
          <w:szCs w:val="22"/>
          <w:lang w:val="haw-US"/>
        </w:rPr>
      </w:pPr>
    </w:p>
    <w:p w14:paraId="2533217A" w14:textId="77777777" w:rsidR="009B306A" w:rsidRPr="0071045B" w:rsidRDefault="009B306A" w:rsidP="001010CD">
      <w:pPr>
        <w:widowControl w:val="0"/>
        <w:ind w:left="72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Deaf/Blind</w:t>
      </w:r>
    </w:p>
    <w:p w14:paraId="359803E3" w14:textId="77777777" w:rsidR="009B306A" w:rsidRPr="0071045B" w:rsidRDefault="009B306A" w:rsidP="009B306A">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 xml:space="preserve">Dammeyer, J. (2011). Mental and behavioral disorders among people with congenital deafblindness. </w:t>
      </w:r>
      <w:r w:rsidRPr="0071045B">
        <w:rPr>
          <w:rFonts w:asciiTheme="majorHAnsi" w:eastAsia="Calibri" w:hAnsiTheme="majorHAnsi" w:cstheme="majorHAnsi"/>
          <w:i/>
          <w:sz w:val="22"/>
          <w:szCs w:val="22"/>
          <w:lang w:val="haw-US"/>
        </w:rPr>
        <w:t>Research in Developmental Disabilities</w:t>
      </w:r>
      <w:r w:rsidRPr="0071045B">
        <w:rPr>
          <w:rFonts w:asciiTheme="majorHAnsi" w:eastAsia="Calibri" w:hAnsiTheme="majorHAnsi" w:cstheme="majorHAnsi"/>
          <w:sz w:val="22"/>
          <w:szCs w:val="22"/>
          <w:lang w:val="haw-US"/>
        </w:rPr>
        <w:t xml:space="preserve">, </w:t>
      </w:r>
      <w:r w:rsidRPr="0071045B">
        <w:rPr>
          <w:rFonts w:asciiTheme="majorHAnsi" w:eastAsia="Calibri" w:hAnsiTheme="majorHAnsi" w:cstheme="majorHAnsi"/>
          <w:i/>
          <w:sz w:val="22"/>
          <w:szCs w:val="22"/>
          <w:lang w:val="haw-US"/>
        </w:rPr>
        <w:t>32</w:t>
      </w:r>
      <w:r w:rsidRPr="0071045B">
        <w:rPr>
          <w:rFonts w:asciiTheme="majorHAnsi" w:eastAsia="Calibri" w:hAnsiTheme="majorHAnsi" w:cstheme="majorHAnsi"/>
          <w:sz w:val="22"/>
          <w:szCs w:val="22"/>
          <w:lang w:val="haw-US"/>
        </w:rPr>
        <w:t>, 571-575.</w:t>
      </w:r>
    </w:p>
    <w:p w14:paraId="79BEB8DC" w14:textId="77777777" w:rsidR="009B306A" w:rsidRPr="0071045B" w:rsidRDefault="009B306A" w:rsidP="009B306A">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lang w:val="haw-US"/>
        </w:rPr>
        <w:t>Fern</w:t>
      </w:r>
      <w:proofErr w:type="spellStart"/>
      <w:r w:rsidRPr="0071045B">
        <w:rPr>
          <w:rFonts w:asciiTheme="majorHAnsi" w:eastAsia="Calibri" w:hAnsiTheme="majorHAnsi" w:cstheme="majorHAnsi"/>
          <w:sz w:val="22"/>
          <w:szCs w:val="22"/>
        </w:rPr>
        <w:t>ández-Valderas</w:t>
      </w:r>
      <w:proofErr w:type="spellEnd"/>
      <w:r w:rsidRPr="0071045B">
        <w:rPr>
          <w:rFonts w:asciiTheme="majorHAnsi" w:eastAsia="Calibri" w:hAnsiTheme="majorHAnsi" w:cstheme="majorHAnsi"/>
          <w:sz w:val="22"/>
          <w:szCs w:val="22"/>
        </w:rPr>
        <w:t xml:space="preserve">, C, Macias-Seda, J, &amp; Gil-Garcia, E. (2017). Experiences of deafblind people about health care. </w:t>
      </w:r>
      <w:proofErr w:type="spellStart"/>
      <w:r w:rsidRPr="0071045B">
        <w:rPr>
          <w:rFonts w:asciiTheme="majorHAnsi" w:eastAsia="Calibri" w:hAnsiTheme="majorHAnsi" w:cstheme="majorHAnsi"/>
          <w:i/>
          <w:sz w:val="22"/>
          <w:szCs w:val="22"/>
        </w:rPr>
        <w:t>Enfermeria</w:t>
      </w:r>
      <w:proofErr w:type="spellEnd"/>
      <w:r w:rsidRPr="0071045B">
        <w:rPr>
          <w:rFonts w:asciiTheme="majorHAnsi" w:eastAsia="Calibri" w:hAnsiTheme="majorHAnsi" w:cstheme="majorHAnsi"/>
          <w:i/>
          <w:sz w:val="22"/>
          <w:szCs w:val="22"/>
        </w:rPr>
        <w:t xml:space="preserve"> </w:t>
      </w:r>
      <w:proofErr w:type="spellStart"/>
      <w:r w:rsidRPr="0071045B">
        <w:rPr>
          <w:rFonts w:asciiTheme="majorHAnsi" w:eastAsia="Calibri" w:hAnsiTheme="majorHAnsi" w:cstheme="majorHAnsi"/>
          <w:i/>
          <w:sz w:val="22"/>
          <w:szCs w:val="22"/>
        </w:rPr>
        <w:t>Clinica</w:t>
      </w:r>
      <w:proofErr w:type="spellEnd"/>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27</w:t>
      </w:r>
      <w:r w:rsidRPr="0071045B">
        <w:rPr>
          <w:rFonts w:asciiTheme="majorHAnsi" w:eastAsia="Calibri" w:hAnsiTheme="majorHAnsi" w:cstheme="majorHAnsi"/>
          <w:sz w:val="22"/>
          <w:szCs w:val="22"/>
        </w:rPr>
        <w:t>, 375-378.</w:t>
      </w:r>
    </w:p>
    <w:p w14:paraId="24C6D599" w14:textId="77777777" w:rsidR="009B306A" w:rsidRPr="0071045B" w:rsidRDefault="009B306A" w:rsidP="009B306A">
      <w:pPr>
        <w:widowControl w:val="0"/>
        <w:ind w:left="1440" w:hanging="720"/>
        <w:rPr>
          <w:rFonts w:asciiTheme="majorHAnsi" w:eastAsia="Calibri" w:hAnsiTheme="majorHAnsi" w:cstheme="majorHAnsi"/>
          <w:sz w:val="22"/>
          <w:szCs w:val="22"/>
          <w:lang w:val="haw-US"/>
        </w:rPr>
      </w:pPr>
    </w:p>
    <w:p w14:paraId="2ED84F2E" w14:textId="0AF647F4" w:rsidR="001010CD" w:rsidRPr="0071045B" w:rsidRDefault="001010CD" w:rsidP="001010CD">
      <w:pPr>
        <w:widowControl w:val="0"/>
        <w:ind w:left="720" w:hanging="720"/>
        <w:rPr>
          <w:rFonts w:asciiTheme="majorHAnsi" w:eastAsia="Calibri" w:hAnsiTheme="majorHAnsi" w:cstheme="majorHAnsi"/>
          <w:sz w:val="22"/>
          <w:szCs w:val="22"/>
          <w:u w:val="single"/>
          <w:lang w:val="haw-US"/>
        </w:rPr>
      </w:pPr>
      <w:r w:rsidRPr="0071045B">
        <w:rPr>
          <w:rFonts w:asciiTheme="majorHAnsi" w:eastAsia="Calibri" w:hAnsiTheme="majorHAnsi" w:cstheme="majorHAnsi"/>
          <w:sz w:val="22"/>
          <w:szCs w:val="22"/>
          <w:u w:val="single"/>
          <w:lang w:val="haw-US"/>
        </w:rPr>
        <w:t>ASD</w:t>
      </w:r>
    </w:p>
    <w:p w14:paraId="6D306036" w14:textId="3CDD202B" w:rsidR="00A76A96" w:rsidRPr="0071045B" w:rsidRDefault="00A76A96" w:rsidP="00A76A96">
      <w:pPr>
        <w:widowControl w:val="0"/>
        <w:ind w:left="1440" w:hanging="720"/>
        <w:rPr>
          <w:rFonts w:asciiTheme="majorHAnsi" w:eastAsia="Calibri" w:hAnsiTheme="majorHAnsi" w:cstheme="majorHAnsi"/>
          <w:sz w:val="22"/>
          <w:szCs w:val="22"/>
        </w:rPr>
      </w:pPr>
      <w:proofErr w:type="spellStart"/>
      <w:r w:rsidRPr="0071045B">
        <w:rPr>
          <w:rFonts w:asciiTheme="majorHAnsi" w:eastAsia="Calibri" w:hAnsiTheme="majorHAnsi" w:cstheme="majorHAnsi"/>
          <w:sz w:val="22"/>
          <w:szCs w:val="22"/>
        </w:rPr>
        <w:t>Koegel</w:t>
      </w:r>
      <w:proofErr w:type="spellEnd"/>
      <w:r w:rsidRPr="0071045B">
        <w:rPr>
          <w:rFonts w:asciiTheme="majorHAnsi" w:eastAsia="Calibri" w:hAnsiTheme="majorHAnsi" w:cstheme="majorHAnsi"/>
          <w:sz w:val="22"/>
          <w:szCs w:val="22"/>
        </w:rPr>
        <w:t xml:space="preserve">, R. L., </w:t>
      </w:r>
      <w:proofErr w:type="spellStart"/>
      <w:r w:rsidRPr="0071045B">
        <w:rPr>
          <w:rFonts w:asciiTheme="majorHAnsi" w:eastAsia="Calibri" w:hAnsiTheme="majorHAnsi" w:cstheme="majorHAnsi"/>
          <w:sz w:val="22"/>
          <w:szCs w:val="22"/>
        </w:rPr>
        <w:t>Koegel</w:t>
      </w:r>
      <w:proofErr w:type="spellEnd"/>
      <w:r w:rsidRPr="0071045B">
        <w:rPr>
          <w:rFonts w:asciiTheme="majorHAnsi" w:eastAsia="Calibri" w:hAnsiTheme="majorHAnsi" w:cstheme="majorHAnsi"/>
          <w:sz w:val="22"/>
          <w:szCs w:val="22"/>
        </w:rPr>
        <w:t xml:space="preserve">, L. K., Vernon, T. W., &amp; Brookman-Frazee, L. I. (2010). Empirically supported pivotal response treatment for children with Autism Spectrum Disorders. In J. Weisz &amp; A. </w:t>
      </w:r>
      <w:proofErr w:type="spellStart"/>
      <w:r w:rsidRPr="0071045B">
        <w:rPr>
          <w:rFonts w:asciiTheme="majorHAnsi" w:eastAsia="Calibri" w:hAnsiTheme="majorHAnsi" w:cstheme="majorHAnsi"/>
          <w:sz w:val="22"/>
          <w:szCs w:val="22"/>
        </w:rPr>
        <w:t>Kazdin</w:t>
      </w:r>
      <w:proofErr w:type="spellEnd"/>
      <w:r w:rsidRPr="0071045B">
        <w:rPr>
          <w:rFonts w:asciiTheme="majorHAnsi" w:eastAsia="Calibri" w:hAnsiTheme="majorHAnsi" w:cstheme="majorHAnsi"/>
          <w:sz w:val="22"/>
          <w:szCs w:val="22"/>
        </w:rPr>
        <w:t xml:space="preserve"> (Eds.), </w:t>
      </w:r>
      <w:r w:rsidRPr="0071045B">
        <w:rPr>
          <w:rFonts w:asciiTheme="majorHAnsi" w:eastAsia="Calibri" w:hAnsiTheme="majorHAnsi" w:cstheme="majorHAnsi"/>
          <w:i/>
          <w:sz w:val="22"/>
          <w:szCs w:val="22"/>
        </w:rPr>
        <w:t xml:space="preserve">Evidence-based psychotherapies for children and adolescents </w:t>
      </w:r>
      <w:r w:rsidRPr="0071045B">
        <w:rPr>
          <w:rFonts w:asciiTheme="majorHAnsi" w:eastAsia="Calibri" w:hAnsiTheme="majorHAnsi" w:cstheme="majorHAnsi"/>
          <w:sz w:val="22"/>
          <w:szCs w:val="22"/>
        </w:rPr>
        <w:t>(2</w:t>
      </w:r>
      <w:r w:rsidRPr="0071045B">
        <w:rPr>
          <w:rFonts w:asciiTheme="majorHAnsi" w:eastAsia="Calibri" w:hAnsiTheme="majorHAnsi" w:cstheme="majorHAnsi"/>
          <w:sz w:val="22"/>
          <w:szCs w:val="22"/>
          <w:vertAlign w:val="superscript"/>
        </w:rPr>
        <w:t>nd</w:t>
      </w:r>
      <w:r w:rsidRPr="0071045B">
        <w:rPr>
          <w:rFonts w:asciiTheme="majorHAnsi" w:eastAsia="Calibri" w:hAnsiTheme="majorHAnsi" w:cstheme="majorHAnsi"/>
          <w:sz w:val="22"/>
          <w:szCs w:val="22"/>
        </w:rPr>
        <w:t xml:space="preserve"> ed., pp.327-344). Guilford.</w:t>
      </w:r>
    </w:p>
    <w:p w14:paraId="2AB7EB93" w14:textId="77777777" w:rsidR="00700138" w:rsidRPr="0071045B" w:rsidRDefault="00700138" w:rsidP="00700138">
      <w:pPr>
        <w:widowControl w:val="0"/>
        <w:ind w:left="72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ab/>
        <w:t>Sheridan, E. &amp; Lord, C. (2020) Autism Spectrum Disorders. In Youngstrom, E. A., Prinstein, M. J.,</w:t>
      </w:r>
    </w:p>
    <w:p w14:paraId="6CD52C28" w14:textId="77777777" w:rsidR="00700138" w:rsidRPr="0071045B" w:rsidRDefault="00700138" w:rsidP="00700138">
      <w:pPr>
        <w:widowControl w:val="0"/>
        <w:ind w:left="72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ab/>
      </w:r>
      <w:r w:rsidRPr="0071045B">
        <w:rPr>
          <w:rFonts w:asciiTheme="majorHAnsi" w:eastAsia="Calibri" w:hAnsiTheme="majorHAnsi" w:cstheme="majorHAnsi"/>
          <w:sz w:val="22"/>
          <w:szCs w:val="22"/>
          <w:lang w:val="haw-US"/>
        </w:rPr>
        <w:tab/>
        <w:t xml:space="preserve">Mash, E. J., &amp; Barkley, R.A. </w:t>
      </w:r>
      <w:r w:rsidRPr="0071045B">
        <w:rPr>
          <w:rFonts w:asciiTheme="majorHAnsi" w:eastAsia="Calibri" w:hAnsiTheme="majorHAnsi" w:cstheme="majorHAnsi"/>
          <w:i/>
          <w:sz w:val="22"/>
          <w:szCs w:val="22"/>
          <w:lang w:val="haw-US"/>
        </w:rPr>
        <w:t>Assessment of disorders in childhood and adolescence</w:t>
      </w:r>
      <w:r w:rsidRPr="0071045B">
        <w:rPr>
          <w:rFonts w:asciiTheme="majorHAnsi" w:eastAsia="Calibri" w:hAnsiTheme="majorHAnsi" w:cstheme="majorHAnsi"/>
          <w:sz w:val="22"/>
          <w:szCs w:val="22"/>
          <w:lang w:val="haw-US"/>
        </w:rPr>
        <w:t xml:space="preserve"> (5th ed., </w:t>
      </w:r>
      <w:r w:rsidRPr="0071045B">
        <w:rPr>
          <w:rFonts w:asciiTheme="majorHAnsi" w:eastAsia="Calibri" w:hAnsiTheme="majorHAnsi" w:cstheme="majorHAnsi"/>
          <w:sz w:val="22"/>
          <w:szCs w:val="22"/>
          <w:lang w:val="haw-US"/>
        </w:rPr>
        <w:tab/>
        <w:t>pp. 327-357). Guilford Press.</w:t>
      </w:r>
    </w:p>
    <w:p w14:paraId="6C3CE901" w14:textId="77777777" w:rsidR="00700138" w:rsidRPr="0071045B" w:rsidRDefault="00700138" w:rsidP="00700138">
      <w:pPr>
        <w:widowControl w:val="0"/>
        <w:ind w:left="1440" w:hanging="720"/>
        <w:rPr>
          <w:rFonts w:asciiTheme="majorHAnsi" w:eastAsia="Calibri" w:hAnsiTheme="majorHAnsi" w:cstheme="majorHAnsi"/>
          <w:i/>
          <w:sz w:val="22"/>
          <w:szCs w:val="22"/>
        </w:rPr>
      </w:pPr>
      <w:r w:rsidRPr="0071045B">
        <w:rPr>
          <w:rFonts w:asciiTheme="majorHAnsi" w:eastAsia="Calibri" w:hAnsiTheme="majorHAnsi" w:cstheme="majorHAnsi"/>
          <w:sz w:val="22"/>
          <w:szCs w:val="22"/>
        </w:rPr>
        <w:t xml:space="preserve">Smith, T. (2010). Early and intensive behavioral intervention for autism. In J. Weisz &amp; A. </w:t>
      </w:r>
      <w:proofErr w:type="spellStart"/>
      <w:r w:rsidRPr="0071045B">
        <w:rPr>
          <w:rFonts w:asciiTheme="majorHAnsi" w:eastAsia="Calibri" w:hAnsiTheme="majorHAnsi" w:cstheme="majorHAnsi"/>
          <w:sz w:val="22"/>
          <w:szCs w:val="22"/>
        </w:rPr>
        <w:t>Kazdin</w:t>
      </w:r>
      <w:proofErr w:type="spellEnd"/>
      <w:r w:rsidRPr="0071045B">
        <w:rPr>
          <w:rFonts w:asciiTheme="majorHAnsi" w:eastAsia="Calibri" w:hAnsiTheme="majorHAnsi" w:cstheme="majorHAnsi"/>
          <w:sz w:val="22"/>
          <w:szCs w:val="22"/>
        </w:rPr>
        <w:t xml:space="preserve"> (Eds.), </w:t>
      </w:r>
      <w:r w:rsidRPr="0071045B">
        <w:rPr>
          <w:rFonts w:asciiTheme="majorHAnsi" w:eastAsia="Calibri" w:hAnsiTheme="majorHAnsi" w:cstheme="majorHAnsi"/>
          <w:i/>
          <w:sz w:val="22"/>
          <w:szCs w:val="22"/>
        </w:rPr>
        <w:t xml:space="preserve">Evidence-based psychotherapies for children and adolescents </w:t>
      </w:r>
      <w:r w:rsidRPr="0071045B">
        <w:rPr>
          <w:rFonts w:asciiTheme="majorHAnsi" w:eastAsia="Calibri" w:hAnsiTheme="majorHAnsi" w:cstheme="majorHAnsi"/>
          <w:sz w:val="22"/>
          <w:szCs w:val="22"/>
        </w:rPr>
        <w:t>(2</w:t>
      </w:r>
      <w:r w:rsidRPr="0071045B">
        <w:rPr>
          <w:rFonts w:asciiTheme="majorHAnsi" w:eastAsia="Calibri" w:hAnsiTheme="majorHAnsi" w:cstheme="majorHAnsi"/>
          <w:sz w:val="22"/>
          <w:szCs w:val="22"/>
          <w:vertAlign w:val="superscript"/>
        </w:rPr>
        <w:t>nd</w:t>
      </w:r>
      <w:r w:rsidRPr="0071045B">
        <w:rPr>
          <w:rFonts w:asciiTheme="majorHAnsi" w:eastAsia="Calibri" w:hAnsiTheme="majorHAnsi" w:cstheme="majorHAnsi"/>
          <w:sz w:val="22"/>
          <w:szCs w:val="22"/>
        </w:rPr>
        <w:t xml:space="preserve"> ed., pp.312-326). Guilford.</w:t>
      </w:r>
    </w:p>
    <w:p w14:paraId="701FE2AA" w14:textId="12477C70" w:rsidR="008453F4" w:rsidRPr="0071045B" w:rsidRDefault="008453F4" w:rsidP="001010CD">
      <w:pPr>
        <w:widowControl w:val="0"/>
        <w:ind w:left="720" w:hanging="720"/>
        <w:rPr>
          <w:rFonts w:asciiTheme="majorHAnsi" w:eastAsia="Calibri" w:hAnsiTheme="majorHAnsi" w:cstheme="majorHAnsi"/>
          <w:sz w:val="22"/>
          <w:szCs w:val="22"/>
          <w:lang w:val="haw-US"/>
        </w:rPr>
      </w:pPr>
    </w:p>
    <w:p w14:paraId="4717BA6B" w14:textId="35DD4C05" w:rsidR="00CC0BAB" w:rsidRPr="0071045B" w:rsidRDefault="008453F4" w:rsidP="001010CD">
      <w:pPr>
        <w:widowControl w:val="0"/>
        <w:ind w:left="72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LD</w:t>
      </w:r>
      <w:r w:rsidR="000A5500" w:rsidRPr="0071045B">
        <w:rPr>
          <w:rFonts w:asciiTheme="majorHAnsi" w:eastAsia="Calibri" w:hAnsiTheme="majorHAnsi" w:cstheme="majorHAnsi"/>
          <w:sz w:val="22"/>
          <w:szCs w:val="22"/>
          <w:u w:val="single"/>
        </w:rPr>
        <w:t xml:space="preserve"> (and ADHD)</w:t>
      </w:r>
    </w:p>
    <w:p w14:paraId="2CE59AFB" w14:textId="01CD8C1D" w:rsidR="008453F4" w:rsidRPr="0071045B" w:rsidRDefault="008453F4" w:rsidP="0012760D">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Biswas, A. B. &amp; Furniss, F. G. (2009). </w:t>
      </w:r>
      <w:r w:rsidR="0012760D" w:rsidRPr="0071045B">
        <w:rPr>
          <w:rFonts w:asciiTheme="majorHAnsi" w:eastAsia="Calibri" w:hAnsiTheme="majorHAnsi" w:cstheme="majorHAnsi"/>
          <w:sz w:val="22"/>
          <w:szCs w:val="22"/>
        </w:rPr>
        <w:t xml:space="preserve">Life events and mental illness in people with learning disabilities. </w:t>
      </w:r>
      <w:r w:rsidR="0012760D" w:rsidRPr="0071045B">
        <w:rPr>
          <w:rFonts w:asciiTheme="majorHAnsi" w:eastAsia="Calibri" w:hAnsiTheme="majorHAnsi" w:cstheme="majorHAnsi"/>
          <w:i/>
          <w:sz w:val="22"/>
          <w:szCs w:val="22"/>
        </w:rPr>
        <w:t>Psychiatry</w:t>
      </w:r>
      <w:r w:rsidR="0012760D" w:rsidRPr="0071045B">
        <w:rPr>
          <w:rFonts w:asciiTheme="majorHAnsi" w:eastAsia="Calibri" w:hAnsiTheme="majorHAnsi" w:cstheme="majorHAnsi"/>
          <w:sz w:val="22"/>
          <w:szCs w:val="22"/>
        </w:rPr>
        <w:t xml:space="preserve">, </w:t>
      </w:r>
      <w:r w:rsidR="0012760D" w:rsidRPr="0071045B">
        <w:rPr>
          <w:rFonts w:asciiTheme="majorHAnsi" w:eastAsia="Calibri" w:hAnsiTheme="majorHAnsi" w:cstheme="majorHAnsi"/>
          <w:i/>
          <w:sz w:val="22"/>
          <w:szCs w:val="22"/>
        </w:rPr>
        <w:t>8</w:t>
      </w:r>
      <w:r w:rsidR="0012760D" w:rsidRPr="0071045B">
        <w:rPr>
          <w:rFonts w:asciiTheme="majorHAnsi" w:eastAsia="Calibri" w:hAnsiTheme="majorHAnsi" w:cstheme="majorHAnsi"/>
          <w:sz w:val="22"/>
          <w:szCs w:val="22"/>
        </w:rPr>
        <w:t>(11), 445-447.</w:t>
      </w:r>
    </w:p>
    <w:p w14:paraId="3C69B709" w14:textId="5429BF76" w:rsidR="00CC0BAB" w:rsidRPr="0071045B" w:rsidRDefault="00CC0BAB" w:rsidP="00CC0BAB">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rPr>
        <w:t xml:space="preserve">McGill, R. J., </w:t>
      </w:r>
      <w:proofErr w:type="spellStart"/>
      <w:r w:rsidRPr="0071045B">
        <w:rPr>
          <w:rFonts w:asciiTheme="majorHAnsi" w:eastAsia="Calibri" w:hAnsiTheme="majorHAnsi" w:cstheme="majorHAnsi"/>
          <w:sz w:val="22"/>
          <w:szCs w:val="22"/>
        </w:rPr>
        <w:t>Styck</w:t>
      </w:r>
      <w:proofErr w:type="spellEnd"/>
      <w:r w:rsidRPr="0071045B">
        <w:rPr>
          <w:rFonts w:asciiTheme="majorHAnsi" w:eastAsia="Calibri" w:hAnsiTheme="majorHAnsi" w:cstheme="majorHAnsi"/>
          <w:sz w:val="22"/>
          <w:szCs w:val="22"/>
        </w:rPr>
        <w:t xml:space="preserve">, K. M., &amp; Dombrowski, S. C. (2020). Learning disabilities. </w:t>
      </w:r>
      <w:r w:rsidRPr="0071045B">
        <w:rPr>
          <w:rFonts w:asciiTheme="majorHAnsi" w:eastAsia="Calibri" w:hAnsiTheme="majorHAnsi" w:cstheme="majorHAnsi"/>
          <w:sz w:val="22"/>
          <w:szCs w:val="22"/>
          <w:lang w:val="haw-US"/>
        </w:rPr>
        <w:t>In Youngstrom, E. A., Prinstein, M. J.,</w:t>
      </w:r>
      <w:r w:rsidR="005E317E" w:rsidRPr="0071045B">
        <w:rPr>
          <w:rFonts w:asciiTheme="majorHAnsi" w:eastAsia="Calibri" w:hAnsiTheme="majorHAnsi" w:cstheme="majorHAnsi"/>
          <w:sz w:val="22"/>
          <w:szCs w:val="22"/>
          <w:lang w:val="haw-US"/>
        </w:rPr>
        <w:t xml:space="preserve"> Mash, E. J., &amp; Barkley, R.A.</w:t>
      </w:r>
      <w:r w:rsidR="005E317E" w:rsidRPr="0071045B">
        <w:rPr>
          <w:rFonts w:asciiTheme="majorHAnsi" w:eastAsia="Calibri" w:hAnsiTheme="majorHAnsi" w:cstheme="majorHAnsi"/>
          <w:sz w:val="22"/>
          <w:szCs w:val="22"/>
        </w:rPr>
        <w:t xml:space="preserve"> (Eds.),</w:t>
      </w:r>
      <w:r w:rsidR="005E317E" w:rsidRPr="0071045B">
        <w:rPr>
          <w:rFonts w:asciiTheme="majorHAnsi" w:eastAsia="Calibri" w:hAnsiTheme="majorHAnsi" w:cstheme="majorHAnsi"/>
          <w:sz w:val="22"/>
          <w:szCs w:val="22"/>
          <w:lang w:val="haw-US"/>
        </w:rPr>
        <w:t xml:space="preserve"> </w:t>
      </w:r>
      <w:r w:rsidR="005E317E" w:rsidRPr="0071045B">
        <w:rPr>
          <w:rFonts w:asciiTheme="majorHAnsi" w:eastAsia="Calibri" w:hAnsiTheme="majorHAnsi" w:cstheme="majorHAnsi"/>
          <w:i/>
          <w:sz w:val="22"/>
          <w:szCs w:val="22"/>
          <w:lang w:val="haw-US"/>
        </w:rPr>
        <w:t xml:space="preserve">Assessment of disorders in childhood and </w:t>
      </w:r>
      <w:r w:rsidR="005E317E" w:rsidRPr="0071045B">
        <w:rPr>
          <w:rFonts w:asciiTheme="majorHAnsi" w:eastAsia="Calibri" w:hAnsiTheme="majorHAnsi" w:cstheme="majorHAnsi"/>
          <w:i/>
          <w:sz w:val="22"/>
          <w:szCs w:val="22"/>
          <w:lang w:val="haw-US"/>
        </w:rPr>
        <w:lastRenderedPageBreak/>
        <w:t>adolescence</w:t>
      </w:r>
      <w:r w:rsidR="005E317E" w:rsidRPr="0071045B">
        <w:rPr>
          <w:rFonts w:asciiTheme="majorHAnsi" w:eastAsia="Calibri" w:hAnsiTheme="majorHAnsi" w:cstheme="majorHAnsi"/>
          <w:sz w:val="22"/>
          <w:szCs w:val="22"/>
          <w:lang w:val="haw-US"/>
        </w:rPr>
        <w:t xml:space="preserve"> (5th ed., pp. </w:t>
      </w:r>
      <w:r w:rsidR="005E317E" w:rsidRPr="0071045B">
        <w:rPr>
          <w:rFonts w:asciiTheme="majorHAnsi" w:eastAsia="Calibri" w:hAnsiTheme="majorHAnsi" w:cstheme="majorHAnsi"/>
          <w:sz w:val="22"/>
          <w:szCs w:val="22"/>
        </w:rPr>
        <w:t>374-412</w:t>
      </w:r>
      <w:r w:rsidR="005E317E" w:rsidRPr="0071045B">
        <w:rPr>
          <w:rFonts w:asciiTheme="majorHAnsi" w:eastAsia="Calibri" w:hAnsiTheme="majorHAnsi" w:cstheme="majorHAnsi"/>
          <w:sz w:val="22"/>
          <w:szCs w:val="22"/>
          <w:lang w:val="haw-US"/>
        </w:rPr>
        <w:t>). Guilford Press.</w:t>
      </w:r>
    </w:p>
    <w:p w14:paraId="5502302F" w14:textId="468E2FEB" w:rsidR="000A5500" w:rsidRPr="0071045B" w:rsidRDefault="000A5500" w:rsidP="00CC0BAB">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 xml:space="preserve">Zablonsky, B. &amp; Alford, J. M. (2020). Racial and ethnic differences in the prevalence of attention-deficit hyperactivity disorder and learning disabilities among US children aged 3-17 years. </w:t>
      </w:r>
      <w:r w:rsidRPr="0071045B">
        <w:rPr>
          <w:rFonts w:asciiTheme="majorHAnsi" w:eastAsia="Calibri" w:hAnsiTheme="majorHAnsi" w:cstheme="majorHAnsi"/>
          <w:i/>
          <w:sz w:val="22"/>
          <w:szCs w:val="22"/>
          <w:lang w:val="haw-US"/>
        </w:rPr>
        <w:t>NCH Data Brief, 358</w:t>
      </w:r>
      <w:r w:rsidR="00A03745" w:rsidRPr="0071045B">
        <w:rPr>
          <w:rFonts w:asciiTheme="majorHAnsi" w:eastAsia="Calibri" w:hAnsiTheme="majorHAnsi" w:cstheme="majorHAnsi"/>
          <w:i/>
          <w:sz w:val="22"/>
          <w:szCs w:val="22"/>
          <w:lang w:val="haw-US"/>
        </w:rPr>
        <w:t>,</w:t>
      </w:r>
      <w:r w:rsidR="00A03745" w:rsidRPr="0071045B">
        <w:rPr>
          <w:rFonts w:asciiTheme="majorHAnsi" w:eastAsia="Calibri" w:hAnsiTheme="majorHAnsi" w:cstheme="majorHAnsi"/>
          <w:sz w:val="22"/>
          <w:szCs w:val="22"/>
          <w:lang w:val="haw-US"/>
        </w:rPr>
        <w:t xml:space="preserve"> </w:t>
      </w:r>
      <w:r w:rsidR="00EF4E62" w:rsidRPr="0071045B">
        <w:rPr>
          <w:rFonts w:asciiTheme="majorHAnsi" w:eastAsia="Calibri" w:hAnsiTheme="majorHAnsi" w:cstheme="majorHAnsi"/>
          <w:sz w:val="22"/>
          <w:szCs w:val="22"/>
          <w:lang w:val="haw-US"/>
        </w:rPr>
        <w:t>1-7.</w:t>
      </w:r>
    </w:p>
    <w:p w14:paraId="50C5BCD3" w14:textId="0E89CE60" w:rsidR="00A76A96" w:rsidRPr="0071045B" w:rsidRDefault="00A76A96" w:rsidP="0012760D">
      <w:pPr>
        <w:widowControl w:val="0"/>
        <w:ind w:left="1440" w:hanging="720"/>
        <w:rPr>
          <w:rFonts w:asciiTheme="majorHAnsi" w:eastAsia="Calibri" w:hAnsiTheme="majorHAnsi" w:cstheme="majorHAnsi"/>
          <w:sz w:val="22"/>
          <w:szCs w:val="22"/>
        </w:rPr>
      </w:pPr>
    </w:p>
    <w:p w14:paraId="4DC7D032" w14:textId="170ED4F5" w:rsidR="00CC0BAB" w:rsidRPr="0071045B" w:rsidRDefault="00CC0BAB" w:rsidP="00CC0BAB">
      <w:pPr>
        <w:widowControl w:val="0"/>
        <w:ind w:left="72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LGBTQ+</w:t>
      </w:r>
    </w:p>
    <w:p w14:paraId="5D633008" w14:textId="6E244000" w:rsidR="0089321C" w:rsidRPr="0071045B" w:rsidRDefault="00B52B32" w:rsidP="0089321C">
      <w:pPr>
        <w:ind w:left="1440" w:hanging="720"/>
        <w:rPr>
          <w:rFonts w:asciiTheme="majorHAnsi" w:hAnsiTheme="majorHAnsi" w:cstheme="majorHAnsi"/>
          <w:color w:val="555555"/>
          <w:sz w:val="22"/>
          <w:szCs w:val="22"/>
          <w:shd w:val="clear" w:color="auto" w:fill="FFFFFF"/>
        </w:rPr>
      </w:pPr>
      <w:r w:rsidRPr="0071045B">
        <w:rPr>
          <w:rFonts w:asciiTheme="majorHAnsi" w:eastAsia="Calibri" w:hAnsiTheme="majorHAnsi" w:cstheme="majorHAnsi"/>
          <w:sz w:val="22"/>
          <w:szCs w:val="22"/>
        </w:rPr>
        <w:t>Moe</w:t>
      </w:r>
      <w:r w:rsidR="0089321C" w:rsidRPr="0071045B">
        <w:rPr>
          <w:rFonts w:asciiTheme="majorHAnsi" w:eastAsia="Calibri" w:hAnsiTheme="majorHAnsi" w:cstheme="majorHAnsi"/>
          <w:sz w:val="22"/>
          <w:szCs w:val="22"/>
        </w:rPr>
        <w:t xml:space="preserve">, J. L., Finnerty, P., Sparkman, N. M., &amp; Yates, C. (2015). Initial assessment and screening with LGBTQ clients: A critical perspective. </w:t>
      </w:r>
      <w:r w:rsidR="0089321C" w:rsidRPr="0071045B">
        <w:rPr>
          <w:rFonts w:asciiTheme="majorHAnsi" w:eastAsia="Calibri" w:hAnsiTheme="majorHAnsi" w:cstheme="majorHAnsi"/>
          <w:i/>
          <w:sz w:val="22"/>
          <w:szCs w:val="22"/>
        </w:rPr>
        <w:t>Journal of LGBT Issues in Counseling</w:t>
      </w:r>
      <w:r w:rsidR="0089321C" w:rsidRPr="0071045B">
        <w:rPr>
          <w:rFonts w:asciiTheme="majorHAnsi" w:eastAsia="Calibri" w:hAnsiTheme="majorHAnsi" w:cstheme="majorHAnsi"/>
          <w:sz w:val="22"/>
          <w:szCs w:val="22"/>
        </w:rPr>
        <w:t xml:space="preserve">, </w:t>
      </w:r>
      <w:r w:rsidR="0089321C" w:rsidRPr="0071045B">
        <w:rPr>
          <w:rFonts w:asciiTheme="majorHAnsi" w:eastAsia="Calibri" w:hAnsiTheme="majorHAnsi" w:cstheme="majorHAnsi"/>
          <w:i/>
          <w:sz w:val="22"/>
          <w:szCs w:val="22"/>
        </w:rPr>
        <w:t>9</w:t>
      </w:r>
      <w:r w:rsidR="0089321C" w:rsidRPr="0071045B">
        <w:rPr>
          <w:rFonts w:asciiTheme="majorHAnsi" w:eastAsia="Calibri" w:hAnsiTheme="majorHAnsi" w:cstheme="majorHAnsi"/>
          <w:sz w:val="22"/>
          <w:szCs w:val="22"/>
        </w:rPr>
        <w:t xml:space="preserve">(1), 1-34. </w:t>
      </w:r>
    </w:p>
    <w:p w14:paraId="7270C0E8" w14:textId="6199837F" w:rsidR="0089321C" w:rsidRPr="0071045B" w:rsidRDefault="0089321C" w:rsidP="0089321C">
      <w:pPr>
        <w:ind w:left="1440" w:hanging="720"/>
        <w:rPr>
          <w:rFonts w:asciiTheme="majorHAnsi" w:hAnsiTheme="majorHAnsi" w:cstheme="majorHAnsi"/>
          <w:sz w:val="22"/>
          <w:szCs w:val="22"/>
        </w:rPr>
      </w:pPr>
      <w:r w:rsidRPr="0071045B">
        <w:rPr>
          <w:rFonts w:asciiTheme="majorHAnsi" w:hAnsiTheme="majorHAnsi" w:cstheme="majorHAnsi"/>
          <w:sz w:val="22"/>
          <w:szCs w:val="22"/>
        </w:rPr>
        <w:t xml:space="preserve">Peterson, C. H., </w:t>
      </w:r>
      <w:proofErr w:type="spellStart"/>
      <w:r w:rsidR="00E27B63" w:rsidRPr="0071045B">
        <w:rPr>
          <w:rFonts w:asciiTheme="majorHAnsi" w:hAnsiTheme="majorHAnsi" w:cstheme="majorHAnsi"/>
          <w:sz w:val="22"/>
          <w:szCs w:val="22"/>
        </w:rPr>
        <w:t>Dalley</w:t>
      </w:r>
      <w:proofErr w:type="spellEnd"/>
      <w:r w:rsidR="00E27B63" w:rsidRPr="0071045B">
        <w:rPr>
          <w:rFonts w:asciiTheme="majorHAnsi" w:hAnsiTheme="majorHAnsi" w:cstheme="majorHAnsi"/>
          <w:sz w:val="22"/>
          <w:szCs w:val="22"/>
        </w:rPr>
        <w:t xml:space="preserve">, L. M., Dombrowski, S. C., &amp; Maier, C. (2017). A review of instruments that measure LGBTQ affirmation and discrimination constructs in adults. </w:t>
      </w:r>
      <w:r w:rsidR="00E27B63" w:rsidRPr="0071045B">
        <w:rPr>
          <w:rFonts w:asciiTheme="majorHAnsi" w:hAnsiTheme="majorHAnsi" w:cstheme="majorHAnsi"/>
          <w:i/>
          <w:sz w:val="22"/>
          <w:szCs w:val="22"/>
        </w:rPr>
        <w:t>Journal of LGBT Issues in Counseling, 11</w:t>
      </w:r>
      <w:r w:rsidR="00E27B63" w:rsidRPr="0071045B">
        <w:rPr>
          <w:rFonts w:asciiTheme="majorHAnsi" w:hAnsiTheme="majorHAnsi" w:cstheme="majorHAnsi"/>
          <w:sz w:val="22"/>
          <w:szCs w:val="22"/>
        </w:rPr>
        <w:t>(4), 230-246.</w:t>
      </w:r>
    </w:p>
    <w:p w14:paraId="13EBCF77" w14:textId="192E0A7F" w:rsidR="0089321C" w:rsidRPr="0071045B" w:rsidRDefault="0089321C" w:rsidP="0089321C">
      <w:pPr>
        <w:ind w:left="1440" w:hanging="720"/>
        <w:rPr>
          <w:rFonts w:asciiTheme="majorHAnsi" w:hAnsiTheme="majorHAnsi" w:cstheme="majorHAnsi"/>
          <w:sz w:val="22"/>
          <w:szCs w:val="22"/>
        </w:rPr>
      </w:pPr>
      <w:r w:rsidRPr="0071045B">
        <w:rPr>
          <w:rFonts w:asciiTheme="majorHAnsi" w:hAnsiTheme="majorHAnsi" w:cstheme="majorHAnsi"/>
          <w:sz w:val="22"/>
          <w:szCs w:val="22"/>
        </w:rPr>
        <w:t xml:space="preserve">Russell, S. T. &amp; Fish, J. N. (2016). Mental health in lesbian, gay, bisexual, and transgender youth. </w:t>
      </w:r>
      <w:r w:rsidRPr="0071045B">
        <w:rPr>
          <w:rFonts w:asciiTheme="majorHAnsi" w:hAnsiTheme="majorHAnsi" w:cstheme="majorHAnsi"/>
          <w:i/>
          <w:sz w:val="22"/>
          <w:szCs w:val="22"/>
        </w:rPr>
        <w:t>Annual Review of Clinical Psychology</w:t>
      </w:r>
      <w:r w:rsidRPr="0071045B">
        <w:rPr>
          <w:rFonts w:asciiTheme="majorHAnsi" w:hAnsiTheme="majorHAnsi" w:cstheme="majorHAnsi"/>
          <w:sz w:val="22"/>
          <w:szCs w:val="22"/>
        </w:rPr>
        <w:t xml:space="preserve">, </w:t>
      </w:r>
      <w:r w:rsidRPr="0071045B">
        <w:rPr>
          <w:rFonts w:asciiTheme="majorHAnsi" w:hAnsiTheme="majorHAnsi" w:cstheme="majorHAnsi"/>
          <w:i/>
          <w:sz w:val="22"/>
          <w:szCs w:val="22"/>
        </w:rPr>
        <w:t>12</w:t>
      </w:r>
      <w:r w:rsidRPr="0071045B">
        <w:rPr>
          <w:rFonts w:asciiTheme="majorHAnsi" w:hAnsiTheme="majorHAnsi" w:cstheme="majorHAnsi"/>
          <w:sz w:val="22"/>
          <w:szCs w:val="22"/>
        </w:rPr>
        <w:t>, 465-487.</w:t>
      </w:r>
    </w:p>
    <w:p w14:paraId="27DEEA43" w14:textId="6D0CEA99" w:rsidR="00FB0504" w:rsidRPr="0071045B" w:rsidRDefault="00FB0504" w:rsidP="00FB0504">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Sue, D. W., Sue, D., Neville, H. A., &amp; Smith, L. (2019) Counseling LGBTQ populations. In D. Sue, D. Sue, H. Neville, and L. Smith (Eds.), </w:t>
      </w:r>
      <w:r w:rsidRPr="0071045B">
        <w:rPr>
          <w:rFonts w:asciiTheme="majorHAnsi" w:eastAsia="Calibri" w:hAnsiTheme="majorHAnsi" w:cstheme="majorHAnsi"/>
          <w:i/>
          <w:sz w:val="22"/>
          <w:szCs w:val="22"/>
        </w:rPr>
        <w:t>Counseling the Culturally Diverse: Theory and practice</w:t>
      </w:r>
      <w:r w:rsidRPr="0071045B">
        <w:rPr>
          <w:rFonts w:asciiTheme="majorHAnsi" w:eastAsia="Calibri" w:hAnsiTheme="majorHAnsi" w:cstheme="majorHAnsi"/>
          <w:sz w:val="22"/>
          <w:szCs w:val="22"/>
        </w:rPr>
        <w:t xml:space="preserve"> (8</w:t>
      </w:r>
      <w:r w:rsidRPr="0071045B">
        <w:rPr>
          <w:rFonts w:asciiTheme="majorHAnsi" w:eastAsia="Calibri" w:hAnsiTheme="majorHAnsi" w:cstheme="majorHAnsi"/>
          <w:sz w:val="22"/>
          <w:szCs w:val="22"/>
          <w:vertAlign w:val="superscript"/>
        </w:rPr>
        <w:t>th</w:t>
      </w:r>
      <w:r w:rsidRPr="0071045B">
        <w:rPr>
          <w:rFonts w:asciiTheme="majorHAnsi" w:eastAsia="Calibri" w:hAnsiTheme="majorHAnsi" w:cstheme="majorHAnsi"/>
          <w:sz w:val="22"/>
          <w:szCs w:val="22"/>
        </w:rPr>
        <w:t xml:space="preserve"> ed., pp. 441-457). Wiley.</w:t>
      </w:r>
    </w:p>
    <w:p w14:paraId="6636450B" w14:textId="77777777" w:rsidR="005E317E" w:rsidRPr="0071045B" w:rsidRDefault="005E317E" w:rsidP="00CC0BAB">
      <w:pPr>
        <w:widowControl w:val="0"/>
        <w:ind w:left="1440" w:hanging="720"/>
        <w:rPr>
          <w:rFonts w:asciiTheme="majorHAnsi" w:eastAsia="Calibri" w:hAnsiTheme="majorHAnsi" w:cstheme="majorHAnsi"/>
          <w:sz w:val="22"/>
          <w:szCs w:val="22"/>
        </w:rPr>
      </w:pPr>
    </w:p>
    <w:p w14:paraId="5890D291" w14:textId="365082C3" w:rsidR="007A0415" w:rsidRPr="0071045B" w:rsidRDefault="007A0415" w:rsidP="00A76A96">
      <w:pPr>
        <w:widowControl w:val="0"/>
        <w:ind w:left="72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Immigrants</w:t>
      </w:r>
    </w:p>
    <w:p w14:paraId="3C4A2CDF" w14:textId="46669C47" w:rsidR="00FD2660" w:rsidRPr="0071045B" w:rsidRDefault="00FD2660" w:rsidP="00FD2660">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Lee, H. Y. &amp; Neese, J. A. (2020). Mental and behavioral health in immigrant populations: Assessment and interventions for culturally competent practice. In G. Hall (Ed.), </w:t>
      </w:r>
      <w:r w:rsidRPr="0071045B">
        <w:rPr>
          <w:rFonts w:asciiTheme="majorHAnsi" w:eastAsia="Calibri" w:hAnsiTheme="majorHAnsi" w:cstheme="majorHAnsi"/>
          <w:i/>
          <w:sz w:val="22"/>
          <w:szCs w:val="22"/>
        </w:rPr>
        <w:t>Mental and behavioral health of immigrants in the United States: Cultural, environmental, and structural factors</w:t>
      </w:r>
      <w:r w:rsidRPr="0071045B">
        <w:rPr>
          <w:rFonts w:asciiTheme="majorHAnsi" w:eastAsia="Calibri" w:hAnsiTheme="majorHAnsi" w:cstheme="majorHAnsi"/>
          <w:sz w:val="22"/>
          <w:szCs w:val="22"/>
        </w:rPr>
        <w:t>, pp.</w:t>
      </w:r>
      <w:r w:rsidR="00FD19E5" w:rsidRPr="0071045B">
        <w:rPr>
          <w:rFonts w:asciiTheme="majorHAnsi" w:eastAsia="Calibri" w:hAnsiTheme="majorHAnsi" w:cstheme="majorHAnsi"/>
          <w:sz w:val="22"/>
          <w:szCs w:val="22"/>
        </w:rPr>
        <w:t xml:space="preserve"> 315-322). Academic Press.</w:t>
      </w:r>
    </w:p>
    <w:p w14:paraId="69863039" w14:textId="50A870E2" w:rsidR="0061735C" w:rsidRPr="0071045B" w:rsidRDefault="0061735C" w:rsidP="00FD2660">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Sue, D. W., Sue, D., Neville, H. A., &amp; Smith, L. (2019) Counseling immigrants and refugees. In D. Sue, D. Sue, H. Neville, and L. Smith (Eds.), </w:t>
      </w:r>
      <w:r w:rsidRPr="0071045B">
        <w:rPr>
          <w:rFonts w:asciiTheme="majorHAnsi" w:eastAsia="Calibri" w:hAnsiTheme="majorHAnsi" w:cstheme="majorHAnsi"/>
          <w:i/>
          <w:sz w:val="22"/>
          <w:szCs w:val="22"/>
        </w:rPr>
        <w:t>Counseling the Culturall</w:t>
      </w:r>
      <w:r w:rsidR="00FB0504" w:rsidRPr="0071045B">
        <w:rPr>
          <w:rFonts w:asciiTheme="majorHAnsi" w:eastAsia="Calibri" w:hAnsiTheme="majorHAnsi" w:cstheme="majorHAnsi"/>
          <w:i/>
          <w:sz w:val="22"/>
          <w:szCs w:val="22"/>
        </w:rPr>
        <w:t>y</w:t>
      </w:r>
      <w:r w:rsidRPr="0071045B">
        <w:rPr>
          <w:rFonts w:asciiTheme="majorHAnsi" w:eastAsia="Calibri" w:hAnsiTheme="majorHAnsi" w:cstheme="majorHAnsi"/>
          <w:i/>
          <w:sz w:val="22"/>
          <w:szCs w:val="22"/>
        </w:rPr>
        <w:t xml:space="preserve"> Diverse: Theory and practice</w:t>
      </w:r>
      <w:r w:rsidRPr="0071045B">
        <w:rPr>
          <w:rFonts w:asciiTheme="majorHAnsi" w:eastAsia="Calibri" w:hAnsiTheme="majorHAnsi" w:cstheme="majorHAnsi"/>
          <w:sz w:val="22"/>
          <w:szCs w:val="22"/>
        </w:rPr>
        <w:t xml:space="preserve"> (8</w:t>
      </w:r>
      <w:r w:rsidRPr="0071045B">
        <w:rPr>
          <w:rFonts w:asciiTheme="majorHAnsi" w:eastAsia="Calibri" w:hAnsiTheme="majorHAnsi" w:cstheme="majorHAnsi"/>
          <w:sz w:val="22"/>
          <w:szCs w:val="22"/>
          <w:vertAlign w:val="superscript"/>
        </w:rPr>
        <w:t>th</w:t>
      </w:r>
      <w:r w:rsidRPr="0071045B">
        <w:rPr>
          <w:rFonts w:asciiTheme="majorHAnsi" w:eastAsia="Calibri" w:hAnsiTheme="majorHAnsi" w:cstheme="majorHAnsi"/>
          <w:sz w:val="22"/>
          <w:szCs w:val="22"/>
        </w:rPr>
        <w:t xml:space="preserve"> ed., pp. 393-409). Wiley.</w:t>
      </w:r>
    </w:p>
    <w:p w14:paraId="40984931" w14:textId="2D3CA435" w:rsidR="008453F4" w:rsidRPr="0071045B" w:rsidRDefault="008453F4" w:rsidP="001010CD">
      <w:pPr>
        <w:widowControl w:val="0"/>
        <w:ind w:left="720" w:hanging="720"/>
        <w:rPr>
          <w:rFonts w:asciiTheme="majorHAnsi" w:eastAsia="Calibri" w:hAnsiTheme="majorHAnsi" w:cstheme="majorHAnsi"/>
          <w:sz w:val="22"/>
          <w:szCs w:val="22"/>
          <w:lang w:val="haw-US"/>
        </w:rPr>
      </w:pPr>
    </w:p>
    <w:p w14:paraId="677AA439" w14:textId="2F0C6F28" w:rsidR="007A0415" w:rsidRPr="0071045B" w:rsidRDefault="009B306A" w:rsidP="009B306A">
      <w:pPr>
        <w:widowControl w:val="0"/>
        <w:ind w:left="72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Traumatized children</w:t>
      </w:r>
    </w:p>
    <w:p w14:paraId="23A5A60E" w14:textId="41F09B92" w:rsidR="008F6B0D" w:rsidRPr="0071045B" w:rsidRDefault="008F6B0D" w:rsidP="00CC0BAB">
      <w:pPr>
        <w:widowControl w:val="0"/>
        <w:ind w:left="1440" w:hanging="720"/>
        <w:rPr>
          <w:rFonts w:asciiTheme="majorHAnsi" w:eastAsia="Calibri" w:hAnsiTheme="majorHAnsi" w:cstheme="majorHAnsi"/>
          <w:sz w:val="22"/>
          <w:szCs w:val="22"/>
        </w:rPr>
      </w:pPr>
      <w:proofErr w:type="spellStart"/>
      <w:r w:rsidRPr="0071045B">
        <w:rPr>
          <w:rFonts w:asciiTheme="majorHAnsi" w:eastAsia="Calibri" w:hAnsiTheme="majorHAnsi" w:cstheme="majorHAnsi"/>
          <w:sz w:val="22"/>
          <w:szCs w:val="22"/>
        </w:rPr>
        <w:t>Bremner</w:t>
      </w:r>
      <w:proofErr w:type="spellEnd"/>
      <w:r w:rsidRPr="0071045B">
        <w:rPr>
          <w:rFonts w:asciiTheme="majorHAnsi" w:eastAsia="Calibri" w:hAnsiTheme="majorHAnsi" w:cstheme="majorHAnsi"/>
          <w:sz w:val="22"/>
          <w:szCs w:val="22"/>
        </w:rPr>
        <w:t xml:space="preserve">, J. D., </w:t>
      </w:r>
      <w:proofErr w:type="spellStart"/>
      <w:r w:rsidRPr="0071045B">
        <w:rPr>
          <w:rFonts w:asciiTheme="majorHAnsi" w:eastAsia="Calibri" w:hAnsiTheme="majorHAnsi" w:cstheme="majorHAnsi"/>
          <w:sz w:val="22"/>
          <w:szCs w:val="22"/>
        </w:rPr>
        <w:t>Vermetten</w:t>
      </w:r>
      <w:proofErr w:type="spellEnd"/>
      <w:r w:rsidRPr="0071045B">
        <w:rPr>
          <w:rFonts w:asciiTheme="majorHAnsi" w:eastAsia="Calibri" w:hAnsiTheme="majorHAnsi" w:cstheme="majorHAnsi"/>
          <w:sz w:val="22"/>
          <w:szCs w:val="22"/>
        </w:rPr>
        <w:t xml:space="preserve">, E., &amp; </w:t>
      </w:r>
      <w:proofErr w:type="spellStart"/>
      <w:r w:rsidRPr="0071045B">
        <w:rPr>
          <w:rFonts w:asciiTheme="majorHAnsi" w:eastAsia="Calibri" w:hAnsiTheme="majorHAnsi" w:cstheme="majorHAnsi"/>
          <w:sz w:val="22"/>
          <w:szCs w:val="22"/>
        </w:rPr>
        <w:t>Mazure</w:t>
      </w:r>
      <w:proofErr w:type="spellEnd"/>
      <w:r w:rsidRPr="0071045B">
        <w:rPr>
          <w:rFonts w:asciiTheme="majorHAnsi" w:eastAsia="Calibri" w:hAnsiTheme="majorHAnsi" w:cstheme="majorHAnsi"/>
          <w:sz w:val="22"/>
          <w:szCs w:val="22"/>
        </w:rPr>
        <w:t xml:space="preserve">, C. M. (2000). Development and preliminary psychometric properties of an instrument for the measurement of childhood trauma: The early trauma inventory. </w:t>
      </w:r>
      <w:r w:rsidRPr="0071045B">
        <w:rPr>
          <w:rFonts w:asciiTheme="majorHAnsi" w:eastAsia="Calibri" w:hAnsiTheme="majorHAnsi" w:cstheme="majorHAnsi"/>
          <w:i/>
          <w:sz w:val="22"/>
          <w:szCs w:val="22"/>
        </w:rPr>
        <w:t>Depression &amp; Anxiety</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12</w:t>
      </w:r>
      <w:r w:rsidRPr="0071045B">
        <w:rPr>
          <w:rFonts w:asciiTheme="majorHAnsi" w:eastAsia="Calibri" w:hAnsiTheme="majorHAnsi" w:cstheme="majorHAnsi"/>
          <w:sz w:val="22"/>
          <w:szCs w:val="22"/>
        </w:rPr>
        <w:t xml:space="preserve">, 1-12. </w:t>
      </w:r>
    </w:p>
    <w:p w14:paraId="383E7403" w14:textId="77777777" w:rsidR="0017166B" w:rsidRPr="0071045B" w:rsidRDefault="0017166B" w:rsidP="0017166B">
      <w:pPr>
        <w:widowControl w:val="0"/>
        <w:ind w:left="1440" w:hanging="720"/>
        <w:rPr>
          <w:rFonts w:asciiTheme="majorHAnsi" w:eastAsia="Calibri" w:hAnsiTheme="majorHAnsi" w:cstheme="majorHAnsi"/>
          <w:i/>
          <w:sz w:val="22"/>
          <w:szCs w:val="22"/>
        </w:rPr>
      </w:pPr>
      <w:r w:rsidRPr="0071045B">
        <w:rPr>
          <w:rFonts w:asciiTheme="majorHAnsi" w:eastAsia="Calibri" w:hAnsiTheme="majorHAnsi" w:cstheme="majorHAnsi"/>
          <w:sz w:val="22"/>
          <w:szCs w:val="22"/>
        </w:rPr>
        <w:t xml:space="preserve">Cohen, J. A., </w:t>
      </w:r>
      <w:proofErr w:type="spellStart"/>
      <w:r w:rsidRPr="0071045B">
        <w:rPr>
          <w:rFonts w:asciiTheme="majorHAnsi" w:eastAsia="Calibri" w:hAnsiTheme="majorHAnsi" w:cstheme="majorHAnsi"/>
          <w:sz w:val="22"/>
          <w:szCs w:val="22"/>
        </w:rPr>
        <w:t>Mannarino</w:t>
      </w:r>
      <w:proofErr w:type="spellEnd"/>
      <w:r w:rsidRPr="0071045B">
        <w:rPr>
          <w:rFonts w:asciiTheme="majorHAnsi" w:eastAsia="Calibri" w:hAnsiTheme="majorHAnsi" w:cstheme="majorHAnsi"/>
          <w:sz w:val="22"/>
          <w:szCs w:val="22"/>
        </w:rPr>
        <w:t xml:space="preserve">, A. P., &amp; </w:t>
      </w:r>
      <w:proofErr w:type="spellStart"/>
      <w:r w:rsidRPr="0071045B">
        <w:rPr>
          <w:rFonts w:asciiTheme="majorHAnsi" w:eastAsia="Calibri" w:hAnsiTheme="majorHAnsi" w:cstheme="majorHAnsi"/>
          <w:sz w:val="22"/>
          <w:szCs w:val="22"/>
        </w:rPr>
        <w:t>Deblinger</w:t>
      </w:r>
      <w:proofErr w:type="spellEnd"/>
      <w:r w:rsidRPr="0071045B">
        <w:rPr>
          <w:rFonts w:asciiTheme="majorHAnsi" w:eastAsia="Calibri" w:hAnsiTheme="majorHAnsi" w:cstheme="majorHAnsi"/>
          <w:sz w:val="22"/>
          <w:szCs w:val="22"/>
        </w:rPr>
        <w:t xml:space="preserve">, E. (2010). Trauma-focused cognitive-behavioral therapy for traumatized children. In J. Weisz &amp; A. </w:t>
      </w:r>
      <w:proofErr w:type="spellStart"/>
      <w:r w:rsidRPr="0071045B">
        <w:rPr>
          <w:rFonts w:asciiTheme="majorHAnsi" w:eastAsia="Calibri" w:hAnsiTheme="majorHAnsi" w:cstheme="majorHAnsi"/>
          <w:sz w:val="22"/>
          <w:szCs w:val="22"/>
        </w:rPr>
        <w:t>Kazdin</w:t>
      </w:r>
      <w:proofErr w:type="spellEnd"/>
      <w:r w:rsidRPr="0071045B">
        <w:rPr>
          <w:rFonts w:asciiTheme="majorHAnsi" w:eastAsia="Calibri" w:hAnsiTheme="majorHAnsi" w:cstheme="majorHAnsi"/>
          <w:sz w:val="22"/>
          <w:szCs w:val="22"/>
        </w:rPr>
        <w:t xml:space="preserve"> (Eds.), </w:t>
      </w:r>
      <w:r w:rsidRPr="0071045B">
        <w:rPr>
          <w:rFonts w:asciiTheme="majorHAnsi" w:eastAsia="Calibri" w:hAnsiTheme="majorHAnsi" w:cstheme="majorHAnsi"/>
          <w:i/>
          <w:sz w:val="22"/>
          <w:szCs w:val="22"/>
        </w:rPr>
        <w:t>Evidence-based psychotherapies for children and adolescents (2</w:t>
      </w:r>
      <w:r w:rsidRPr="0071045B">
        <w:rPr>
          <w:rFonts w:asciiTheme="majorHAnsi" w:eastAsia="Calibri" w:hAnsiTheme="majorHAnsi" w:cstheme="majorHAnsi"/>
          <w:i/>
          <w:sz w:val="22"/>
          <w:szCs w:val="22"/>
          <w:vertAlign w:val="superscript"/>
        </w:rPr>
        <w:t>nd</w:t>
      </w:r>
      <w:r w:rsidRPr="0071045B">
        <w:rPr>
          <w:rFonts w:asciiTheme="majorHAnsi" w:eastAsia="Calibri" w:hAnsiTheme="majorHAnsi" w:cstheme="majorHAnsi"/>
          <w:i/>
          <w:sz w:val="22"/>
          <w:szCs w:val="22"/>
        </w:rPr>
        <w:t xml:space="preserve"> ed., pp.295-311). Guilford.</w:t>
      </w:r>
    </w:p>
    <w:p w14:paraId="5171F22F" w14:textId="0A02B395" w:rsidR="00CC0BAB" w:rsidRPr="0071045B" w:rsidRDefault="00CC0BAB" w:rsidP="00CC0BAB">
      <w:pPr>
        <w:widowControl w:val="0"/>
        <w:ind w:left="144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rPr>
        <w:t xml:space="preserve">Grant, K., Carter, J. S., Adam, E., &amp; Jackson, Y. (2020). Life events. </w:t>
      </w:r>
      <w:r w:rsidRPr="0071045B">
        <w:rPr>
          <w:rFonts w:asciiTheme="majorHAnsi" w:eastAsia="Calibri" w:hAnsiTheme="majorHAnsi" w:cstheme="majorHAnsi"/>
          <w:sz w:val="22"/>
          <w:szCs w:val="22"/>
          <w:lang w:val="haw-US"/>
        </w:rPr>
        <w:t>In Youngstrom, E. A., Prinstein, M. J.,</w:t>
      </w:r>
    </w:p>
    <w:p w14:paraId="1B64D1B0" w14:textId="7D535AC1" w:rsidR="00CC0BAB" w:rsidRPr="0071045B" w:rsidRDefault="00CC0BAB" w:rsidP="00CC0BAB">
      <w:pPr>
        <w:widowControl w:val="0"/>
        <w:ind w:left="72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ab/>
      </w:r>
      <w:r w:rsidRPr="0071045B">
        <w:rPr>
          <w:rFonts w:asciiTheme="majorHAnsi" w:eastAsia="Calibri" w:hAnsiTheme="majorHAnsi" w:cstheme="majorHAnsi"/>
          <w:sz w:val="22"/>
          <w:szCs w:val="22"/>
          <w:lang w:val="haw-US"/>
        </w:rPr>
        <w:tab/>
        <w:t xml:space="preserve">Mash, E. J., &amp; Barkley, R.A. </w:t>
      </w:r>
      <w:r w:rsidRPr="0071045B">
        <w:rPr>
          <w:rFonts w:asciiTheme="majorHAnsi" w:eastAsia="Calibri" w:hAnsiTheme="majorHAnsi" w:cstheme="majorHAnsi"/>
          <w:i/>
          <w:sz w:val="22"/>
          <w:szCs w:val="22"/>
          <w:lang w:val="haw-US"/>
        </w:rPr>
        <w:t>Assessment of disorders in childhood and adolescence</w:t>
      </w:r>
      <w:r w:rsidRPr="0071045B">
        <w:rPr>
          <w:rFonts w:asciiTheme="majorHAnsi" w:eastAsia="Calibri" w:hAnsiTheme="majorHAnsi" w:cstheme="majorHAnsi"/>
          <w:sz w:val="22"/>
          <w:szCs w:val="22"/>
          <w:lang w:val="haw-US"/>
        </w:rPr>
        <w:t xml:space="preserve"> (5th ed., </w:t>
      </w:r>
      <w:r w:rsidRPr="0071045B">
        <w:rPr>
          <w:rFonts w:asciiTheme="majorHAnsi" w:eastAsia="Calibri" w:hAnsiTheme="majorHAnsi" w:cstheme="majorHAnsi"/>
          <w:sz w:val="22"/>
          <w:szCs w:val="22"/>
          <w:lang w:val="haw-US"/>
        </w:rPr>
        <w:tab/>
        <w:t xml:space="preserve">pp. </w:t>
      </w:r>
      <w:r w:rsidRPr="0071045B">
        <w:rPr>
          <w:rFonts w:asciiTheme="majorHAnsi" w:eastAsia="Calibri" w:hAnsiTheme="majorHAnsi" w:cstheme="majorHAnsi"/>
          <w:sz w:val="22"/>
          <w:szCs w:val="22"/>
        </w:rPr>
        <w:t>470</w:t>
      </w:r>
      <w:r w:rsidRPr="0071045B">
        <w:rPr>
          <w:rFonts w:asciiTheme="majorHAnsi" w:eastAsia="Calibri" w:hAnsiTheme="majorHAnsi" w:cstheme="majorHAnsi"/>
          <w:sz w:val="22"/>
          <w:szCs w:val="22"/>
          <w:lang w:val="haw-US"/>
        </w:rPr>
        <w:t>). Guilford Press.</w:t>
      </w:r>
    </w:p>
    <w:p w14:paraId="753994DC" w14:textId="77777777" w:rsidR="00CC0BAB" w:rsidRPr="0071045B" w:rsidRDefault="00CC0BAB" w:rsidP="00CC0BAB">
      <w:pPr>
        <w:widowControl w:val="0"/>
        <w:ind w:left="1440" w:hanging="720"/>
        <w:rPr>
          <w:rFonts w:asciiTheme="majorHAnsi" w:eastAsia="Calibri" w:hAnsiTheme="majorHAnsi" w:cstheme="majorHAnsi"/>
          <w:sz w:val="22"/>
          <w:szCs w:val="22"/>
          <w:lang w:val="haw-US"/>
        </w:rPr>
      </w:pPr>
      <w:proofErr w:type="spellStart"/>
      <w:r w:rsidRPr="0071045B">
        <w:rPr>
          <w:rFonts w:asciiTheme="majorHAnsi" w:eastAsia="Calibri" w:hAnsiTheme="majorHAnsi" w:cstheme="majorHAnsi"/>
          <w:sz w:val="22"/>
          <w:szCs w:val="22"/>
        </w:rPr>
        <w:t>Milojevich</w:t>
      </w:r>
      <w:proofErr w:type="spellEnd"/>
      <w:r w:rsidRPr="0071045B">
        <w:rPr>
          <w:rFonts w:asciiTheme="majorHAnsi" w:eastAsia="Calibri" w:hAnsiTheme="majorHAnsi" w:cstheme="majorHAnsi"/>
          <w:sz w:val="22"/>
          <w:szCs w:val="22"/>
        </w:rPr>
        <w:t xml:space="preserve">, H. M. &amp; Wolfe, V. V. (2020). Child maltreatment. </w:t>
      </w:r>
      <w:r w:rsidRPr="0071045B">
        <w:rPr>
          <w:rFonts w:asciiTheme="majorHAnsi" w:eastAsia="Calibri" w:hAnsiTheme="majorHAnsi" w:cstheme="majorHAnsi"/>
          <w:sz w:val="22"/>
          <w:szCs w:val="22"/>
          <w:lang w:val="haw-US"/>
        </w:rPr>
        <w:t>In Youngstrom, E. A., Prinstein, M. J.,</w:t>
      </w:r>
    </w:p>
    <w:p w14:paraId="473D4317" w14:textId="5C5D15C8" w:rsidR="007A0415" w:rsidRPr="0071045B" w:rsidRDefault="00CC0BAB" w:rsidP="009B306A">
      <w:pPr>
        <w:widowControl w:val="0"/>
        <w:ind w:left="720" w:hanging="720"/>
        <w:rPr>
          <w:rFonts w:asciiTheme="majorHAnsi" w:eastAsia="Calibri" w:hAnsiTheme="majorHAnsi" w:cstheme="majorHAnsi"/>
          <w:sz w:val="22"/>
          <w:szCs w:val="22"/>
          <w:lang w:val="haw-US"/>
        </w:rPr>
      </w:pPr>
      <w:r w:rsidRPr="0071045B">
        <w:rPr>
          <w:rFonts w:asciiTheme="majorHAnsi" w:eastAsia="Calibri" w:hAnsiTheme="majorHAnsi" w:cstheme="majorHAnsi"/>
          <w:sz w:val="22"/>
          <w:szCs w:val="22"/>
          <w:lang w:val="haw-US"/>
        </w:rPr>
        <w:tab/>
      </w:r>
      <w:r w:rsidRPr="0071045B">
        <w:rPr>
          <w:rFonts w:asciiTheme="majorHAnsi" w:eastAsia="Calibri" w:hAnsiTheme="majorHAnsi" w:cstheme="majorHAnsi"/>
          <w:sz w:val="22"/>
          <w:szCs w:val="22"/>
          <w:lang w:val="haw-US"/>
        </w:rPr>
        <w:tab/>
        <w:t xml:space="preserve">Mash, E. J., &amp; Barkley, R.A. </w:t>
      </w:r>
      <w:r w:rsidRPr="0071045B">
        <w:rPr>
          <w:rFonts w:asciiTheme="majorHAnsi" w:eastAsia="Calibri" w:hAnsiTheme="majorHAnsi" w:cstheme="majorHAnsi"/>
          <w:i/>
          <w:sz w:val="22"/>
          <w:szCs w:val="22"/>
          <w:lang w:val="haw-US"/>
        </w:rPr>
        <w:t>Assessment of disorders in childhood and adolescence</w:t>
      </w:r>
      <w:r w:rsidRPr="0071045B">
        <w:rPr>
          <w:rFonts w:asciiTheme="majorHAnsi" w:eastAsia="Calibri" w:hAnsiTheme="majorHAnsi" w:cstheme="majorHAnsi"/>
          <w:sz w:val="22"/>
          <w:szCs w:val="22"/>
          <w:lang w:val="haw-US"/>
        </w:rPr>
        <w:t xml:space="preserve"> (5th ed., </w:t>
      </w:r>
      <w:r w:rsidRPr="0071045B">
        <w:rPr>
          <w:rFonts w:asciiTheme="majorHAnsi" w:eastAsia="Calibri" w:hAnsiTheme="majorHAnsi" w:cstheme="majorHAnsi"/>
          <w:sz w:val="22"/>
          <w:szCs w:val="22"/>
          <w:lang w:val="haw-US"/>
        </w:rPr>
        <w:tab/>
        <w:t xml:space="preserve">pp. </w:t>
      </w:r>
      <w:r w:rsidRPr="0071045B">
        <w:rPr>
          <w:rFonts w:asciiTheme="majorHAnsi" w:eastAsia="Calibri" w:hAnsiTheme="majorHAnsi" w:cstheme="majorHAnsi"/>
          <w:sz w:val="22"/>
          <w:szCs w:val="22"/>
        </w:rPr>
        <w:t>509-544</w:t>
      </w:r>
      <w:r w:rsidRPr="0071045B">
        <w:rPr>
          <w:rFonts w:asciiTheme="majorHAnsi" w:eastAsia="Calibri" w:hAnsiTheme="majorHAnsi" w:cstheme="majorHAnsi"/>
          <w:sz w:val="22"/>
          <w:szCs w:val="22"/>
          <w:lang w:val="haw-US"/>
        </w:rPr>
        <w:t>). Guilford Press.</w:t>
      </w:r>
    </w:p>
    <w:p w14:paraId="6E52CAD0" w14:textId="793B8705" w:rsidR="009B306A" w:rsidRPr="0071045B" w:rsidRDefault="009B306A" w:rsidP="009B306A">
      <w:pPr>
        <w:widowControl w:val="0"/>
        <w:ind w:left="720" w:hanging="720"/>
        <w:rPr>
          <w:rFonts w:asciiTheme="majorHAnsi" w:eastAsia="Calibri" w:hAnsiTheme="majorHAnsi" w:cstheme="majorHAnsi"/>
          <w:sz w:val="22"/>
          <w:szCs w:val="22"/>
        </w:rPr>
      </w:pPr>
    </w:p>
    <w:p w14:paraId="7BB7B596" w14:textId="0190CC20" w:rsidR="009B306A" w:rsidRPr="0071045B" w:rsidRDefault="00EC5296" w:rsidP="009B306A">
      <w:pPr>
        <w:widowControl w:val="0"/>
        <w:ind w:left="72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Poverty</w:t>
      </w:r>
    </w:p>
    <w:p w14:paraId="7C1DF4C3" w14:textId="3A6D3D37" w:rsidR="00EC5296" w:rsidRPr="0071045B" w:rsidRDefault="00EC5296" w:rsidP="00EC5296">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Goodman, L. A., </w:t>
      </w:r>
      <w:proofErr w:type="spellStart"/>
      <w:r w:rsidRPr="0071045B">
        <w:rPr>
          <w:rFonts w:asciiTheme="majorHAnsi" w:eastAsia="Calibri" w:hAnsiTheme="majorHAnsi" w:cstheme="majorHAnsi"/>
          <w:sz w:val="22"/>
          <w:szCs w:val="22"/>
        </w:rPr>
        <w:t>Pugach</w:t>
      </w:r>
      <w:proofErr w:type="spellEnd"/>
      <w:r w:rsidRPr="0071045B">
        <w:rPr>
          <w:rFonts w:asciiTheme="majorHAnsi" w:eastAsia="Calibri" w:hAnsiTheme="majorHAnsi" w:cstheme="majorHAnsi"/>
          <w:sz w:val="22"/>
          <w:szCs w:val="22"/>
        </w:rPr>
        <w:t xml:space="preserve">, M., </w:t>
      </w:r>
      <w:proofErr w:type="spellStart"/>
      <w:r w:rsidRPr="0071045B">
        <w:rPr>
          <w:rFonts w:asciiTheme="majorHAnsi" w:eastAsia="Calibri" w:hAnsiTheme="majorHAnsi" w:cstheme="majorHAnsi"/>
          <w:sz w:val="22"/>
          <w:szCs w:val="22"/>
        </w:rPr>
        <w:t>Skolnik</w:t>
      </w:r>
      <w:proofErr w:type="spellEnd"/>
      <w:r w:rsidRPr="0071045B">
        <w:rPr>
          <w:rFonts w:asciiTheme="majorHAnsi" w:eastAsia="Calibri" w:hAnsiTheme="majorHAnsi" w:cstheme="majorHAnsi"/>
          <w:sz w:val="22"/>
          <w:szCs w:val="22"/>
        </w:rPr>
        <w:t xml:space="preserve">, A., &amp; Smith, L. (2013). Poverty and mental health practice: Within and beyond the 50-minute hour. </w:t>
      </w:r>
      <w:r w:rsidRPr="0071045B">
        <w:rPr>
          <w:rFonts w:asciiTheme="majorHAnsi" w:eastAsia="Calibri" w:hAnsiTheme="majorHAnsi" w:cstheme="majorHAnsi"/>
          <w:i/>
          <w:sz w:val="22"/>
          <w:szCs w:val="22"/>
        </w:rPr>
        <w:t>Journal of Clinical Psychology: In Session</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69</w:t>
      </w:r>
      <w:r w:rsidRPr="0071045B">
        <w:rPr>
          <w:rFonts w:asciiTheme="majorHAnsi" w:eastAsia="Calibri" w:hAnsiTheme="majorHAnsi" w:cstheme="majorHAnsi"/>
          <w:sz w:val="22"/>
          <w:szCs w:val="22"/>
        </w:rPr>
        <w:t>(2), 182-190.</w:t>
      </w:r>
    </w:p>
    <w:p w14:paraId="28DA3143" w14:textId="6D0CEF83" w:rsidR="00F128E6" w:rsidRPr="0071045B" w:rsidRDefault="00F128E6" w:rsidP="00EC5296">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Hawkins, R. L. &amp; Kim, E. J. (2012). The socio-economic empowerment assessment: Addressing poverty and economic distress in clients. </w:t>
      </w:r>
      <w:r w:rsidRPr="0071045B">
        <w:rPr>
          <w:rFonts w:asciiTheme="majorHAnsi" w:eastAsia="Calibri" w:hAnsiTheme="majorHAnsi" w:cstheme="majorHAnsi"/>
          <w:i/>
          <w:sz w:val="22"/>
          <w:szCs w:val="22"/>
        </w:rPr>
        <w:t>Clinical Social Work Journal, 40</w:t>
      </w:r>
      <w:r w:rsidRPr="0071045B">
        <w:rPr>
          <w:rFonts w:asciiTheme="majorHAnsi" w:eastAsia="Calibri" w:hAnsiTheme="majorHAnsi" w:cstheme="majorHAnsi"/>
          <w:sz w:val="22"/>
          <w:szCs w:val="22"/>
        </w:rPr>
        <w:t>, 194-202.</w:t>
      </w:r>
    </w:p>
    <w:p w14:paraId="03561169" w14:textId="3C3E82D1" w:rsidR="00EC5296" w:rsidRPr="0071045B" w:rsidRDefault="00EC5296" w:rsidP="00EC5296">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Kim, </w:t>
      </w:r>
      <w:r w:rsidR="00F128E6" w:rsidRPr="0071045B">
        <w:rPr>
          <w:rFonts w:asciiTheme="majorHAnsi" w:eastAsia="Calibri" w:hAnsiTheme="majorHAnsi" w:cstheme="majorHAnsi"/>
          <w:sz w:val="22"/>
          <w:szCs w:val="22"/>
        </w:rPr>
        <w:t xml:space="preserve">S. &amp; </w:t>
      </w:r>
      <w:proofErr w:type="spellStart"/>
      <w:r w:rsidR="00F128E6" w:rsidRPr="0071045B">
        <w:rPr>
          <w:rFonts w:asciiTheme="majorHAnsi" w:eastAsia="Calibri" w:hAnsiTheme="majorHAnsi" w:cstheme="majorHAnsi"/>
          <w:sz w:val="22"/>
          <w:szCs w:val="22"/>
        </w:rPr>
        <w:t>Cardemil</w:t>
      </w:r>
      <w:proofErr w:type="spellEnd"/>
      <w:r w:rsidR="00F128E6" w:rsidRPr="0071045B">
        <w:rPr>
          <w:rFonts w:asciiTheme="majorHAnsi" w:eastAsia="Calibri" w:hAnsiTheme="majorHAnsi" w:cstheme="majorHAnsi"/>
          <w:sz w:val="22"/>
          <w:szCs w:val="22"/>
        </w:rPr>
        <w:t xml:space="preserve">, E. (2012). Effective psychotherapy with low income clients: The importance of attending to social class. </w:t>
      </w:r>
      <w:r w:rsidR="00F128E6" w:rsidRPr="0071045B">
        <w:rPr>
          <w:rFonts w:asciiTheme="majorHAnsi" w:eastAsia="Calibri" w:hAnsiTheme="majorHAnsi" w:cstheme="majorHAnsi"/>
          <w:i/>
          <w:sz w:val="22"/>
          <w:szCs w:val="22"/>
        </w:rPr>
        <w:t>Journal of Contemporary Psychotherapy</w:t>
      </w:r>
      <w:r w:rsidR="00F128E6" w:rsidRPr="0071045B">
        <w:rPr>
          <w:rFonts w:asciiTheme="majorHAnsi" w:eastAsia="Calibri" w:hAnsiTheme="majorHAnsi" w:cstheme="majorHAnsi"/>
          <w:sz w:val="22"/>
          <w:szCs w:val="22"/>
        </w:rPr>
        <w:t xml:space="preserve">, </w:t>
      </w:r>
      <w:r w:rsidR="00F128E6" w:rsidRPr="0071045B">
        <w:rPr>
          <w:rFonts w:asciiTheme="majorHAnsi" w:eastAsia="Calibri" w:hAnsiTheme="majorHAnsi" w:cstheme="majorHAnsi"/>
          <w:i/>
          <w:sz w:val="22"/>
          <w:szCs w:val="22"/>
        </w:rPr>
        <w:t>42</w:t>
      </w:r>
      <w:r w:rsidR="00F128E6" w:rsidRPr="0071045B">
        <w:rPr>
          <w:rFonts w:asciiTheme="majorHAnsi" w:eastAsia="Calibri" w:hAnsiTheme="majorHAnsi" w:cstheme="majorHAnsi"/>
          <w:sz w:val="22"/>
          <w:szCs w:val="22"/>
        </w:rPr>
        <w:t>(1), 27-35.</w:t>
      </w:r>
    </w:p>
    <w:p w14:paraId="68559BCD" w14:textId="3E4B699B" w:rsidR="00FB0504" w:rsidRPr="0071045B" w:rsidRDefault="00FB0504" w:rsidP="00FB0504">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Sue, D. W., Sue, D., Neville, H. A., &amp; Smith, L. (2019) Counseling individuals living in poverty. In D. Sue, D. Sue, H. Neville, and L. Smith (Eds.), </w:t>
      </w:r>
      <w:r w:rsidRPr="0071045B">
        <w:rPr>
          <w:rFonts w:asciiTheme="majorHAnsi" w:eastAsia="Calibri" w:hAnsiTheme="majorHAnsi" w:cstheme="majorHAnsi"/>
          <w:i/>
          <w:sz w:val="22"/>
          <w:szCs w:val="22"/>
        </w:rPr>
        <w:t>Counseling the Culturally Diverse: Theory and practice</w:t>
      </w:r>
      <w:r w:rsidRPr="0071045B">
        <w:rPr>
          <w:rFonts w:asciiTheme="majorHAnsi" w:eastAsia="Calibri" w:hAnsiTheme="majorHAnsi" w:cstheme="majorHAnsi"/>
          <w:sz w:val="22"/>
          <w:szCs w:val="22"/>
        </w:rPr>
        <w:t xml:space="preserve"> (8</w:t>
      </w:r>
      <w:r w:rsidRPr="0071045B">
        <w:rPr>
          <w:rFonts w:asciiTheme="majorHAnsi" w:eastAsia="Calibri" w:hAnsiTheme="majorHAnsi" w:cstheme="majorHAnsi"/>
          <w:sz w:val="22"/>
          <w:szCs w:val="22"/>
          <w:vertAlign w:val="superscript"/>
        </w:rPr>
        <w:t>th</w:t>
      </w:r>
      <w:r w:rsidRPr="0071045B">
        <w:rPr>
          <w:rFonts w:asciiTheme="majorHAnsi" w:eastAsia="Calibri" w:hAnsiTheme="majorHAnsi" w:cstheme="majorHAnsi"/>
          <w:sz w:val="22"/>
          <w:szCs w:val="22"/>
        </w:rPr>
        <w:t xml:space="preserve"> ed., pp. 474-487). Wiley.</w:t>
      </w:r>
    </w:p>
    <w:p w14:paraId="6E1F2DC2" w14:textId="468D01A3" w:rsidR="008F6B0D" w:rsidRPr="0071045B" w:rsidRDefault="008F6B0D" w:rsidP="00FB0504">
      <w:pPr>
        <w:widowControl w:val="0"/>
        <w:ind w:left="1440" w:hanging="720"/>
        <w:rPr>
          <w:rFonts w:asciiTheme="majorHAnsi" w:eastAsia="Calibri" w:hAnsiTheme="majorHAnsi" w:cstheme="majorHAnsi"/>
          <w:sz w:val="22"/>
          <w:szCs w:val="22"/>
        </w:rPr>
      </w:pPr>
    </w:p>
    <w:p w14:paraId="2A849CA3" w14:textId="4A6ECD6B" w:rsidR="008F6B0D" w:rsidRPr="0071045B" w:rsidRDefault="008F6B0D" w:rsidP="008F6B0D">
      <w:pPr>
        <w:widowControl w:val="0"/>
        <w:ind w:left="72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lastRenderedPageBreak/>
        <w:t>Military</w:t>
      </w:r>
    </w:p>
    <w:p w14:paraId="17CB6681" w14:textId="2AF0C521" w:rsidR="008F6B0D" w:rsidRPr="0071045B" w:rsidRDefault="008F6B0D" w:rsidP="008F6B0D">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Back, S. E., </w:t>
      </w:r>
      <w:r w:rsidR="003F6C85" w:rsidRPr="0071045B">
        <w:rPr>
          <w:rFonts w:asciiTheme="majorHAnsi" w:eastAsia="Calibri" w:hAnsiTheme="majorHAnsi" w:cstheme="majorHAnsi"/>
          <w:sz w:val="22"/>
          <w:szCs w:val="22"/>
        </w:rPr>
        <w:t xml:space="preserve">Killeen, T., </w:t>
      </w:r>
      <w:proofErr w:type="spellStart"/>
      <w:r w:rsidR="003F6C85" w:rsidRPr="0071045B">
        <w:rPr>
          <w:rFonts w:asciiTheme="majorHAnsi" w:eastAsia="Calibri" w:hAnsiTheme="majorHAnsi" w:cstheme="majorHAnsi"/>
          <w:sz w:val="22"/>
          <w:szCs w:val="22"/>
        </w:rPr>
        <w:t>Badour</w:t>
      </w:r>
      <w:proofErr w:type="spellEnd"/>
      <w:r w:rsidR="003F6C85" w:rsidRPr="0071045B">
        <w:rPr>
          <w:rFonts w:asciiTheme="majorHAnsi" w:eastAsia="Calibri" w:hAnsiTheme="majorHAnsi" w:cstheme="majorHAnsi"/>
          <w:sz w:val="22"/>
          <w:szCs w:val="22"/>
        </w:rPr>
        <w:t xml:space="preserve">, C. L., Flanagan, J. C., Allan, N. P., Santa Ana, E., Lozano, B., Korte, K. J., </w:t>
      </w:r>
      <w:proofErr w:type="spellStart"/>
      <w:r w:rsidR="003F6C85" w:rsidRPr="0071045B">
        <w:rPr>
          <w:rFonts w:asciiTheme="majorHAnsi" w:eastAsia="Calibri" w:hAnsiTheme="majorHAnsi" w:cstheme="majorHAnsi"/>
          <w:sz w:val="22"/>
          <w:szCs w:val="22"/>
        </w:rPr>
        <w:t>Foa</w:t>
      </w:r>
      <w:proofErr w:type="spellEnd"/>
      <w:r w:rsidR="003F6C85" w:rsidRPr="0071045B">
        <w:rPr>
          <w:rFonts w:asciiTheme="majorHAnsi" w:eastAsia="Calibri" w:hAnsiTheme="majorHAnsi" w:cstheme="majorHAnsi"/>
          <w:sz w:val="22"/>
          <w:szCs w:val="22"/>
        </w:rPr>
        <w:t xml:space="preserve">, E. B., &amp; Brady, K. T. (2019). Concurrent treatment of substance use disorders and PTSD using prolonged exposure: A randomized clinical trial in military veterans. </w:t>
      </w:r>
      <w:r w:rsidR="003F6C85" w:rsidRPr="0071045B">
        <w:rPr>
          <w:rFonts w:asciiTheme="majorHAnsi" w:eastAsia="Calibri" w:hAnsiTheme="majorHAnsi" w:cstheme="majorHAnsi"/>
          <w:i/>
          <w:sz w:val="22"/>
          <w:szCs w:val="22"/>
        </w:rPr>
        <w:t>Addiction Behavior</w:t>
      </w:r>
      <w:r w:rsidR="003F6C85" w:rsidRPr="0071045B">
        <w:rPr>
          <w:rFonts w:asciiTheme="majorHAnsi" w:eastAsia="Calibri" w:hAnsiTheme="majorHAnsi" w:cstheme="majorHAnsi"/>
          <w:sz w:val="22"/>
          <w:szCs w:val="22"/>
        </w:rPr>
        <w:t xml:space="preserve">, </w:t>
      </w:r>
      <w:r w:rsidR="003F6C85" w:rsidRPr="0071045B">
        <w:rPr>
          <w:rFonts w:asciiTheme="majorHAnsi" w:eastAsia="Calibri" w:hAnsiTheme="majorHAnsi" w:cstheme="majorHAnsi"/>
          <w:i/>
          <w:sz w:val="22"/>
          <w:szCs w:val="22"/>
        </w:rPr>
        <w:t>90</w:t>
      </w:r>
      <w:r w:rsidR="003F6C85" w:rsidRPr="0071045B">
        <w:rPr>
          <w:rFonts w:asciiTheme="majorHAnsi" w:eastAsia="Calibri" w:hAnsiTheme="majorHAnsi" w:cstheme="majorHAnsi"/>
          <w:sz w:val="22"/>
          <w:szCs w:val="22"/>
        </w:rPr>
        <w:t>, 369-377.</w:t>
      </w:r>
    </w:p>
    <w:p w14:paraId="54B16D93" w14:textId="619460D4" w:rsidR="003F6C85" w:rsidRPr="0071045B" w:rsidRDefault="003F6C85" w:rsidP="008F6B0D">
      <w:pPr>
        <w:widowControl w:val="0"/>
        <w:ind w:left="1440" w:hanging="720"/>
        <w:rPr>
          <w:rFonts w:asciiTheme="majorHAnsi" w:eastAsia="Calibri" w:hAnsiTheme="majorHAnsi" w:cstheme="majorHAnsi"/>
          <w:sz w:val="22"/>
          <w:szCs w:val="22"/>
        </w:rPr>
      </w:pPr>
      <w:proofErr w:type="spellStart"/>
      <w:r w:rsidRPr="0071045B">
        <w:rPr>
          <w:rFonts w:asciiTheme="majorHAnsi" w:eastAsia="Calibri" w:hAnsiTheme="majorHAnsi" w:cstheme="majorHAnsi"/>
          <w:sz w:val="22"/>
          <w:szCs w:val="22"/>
        </w:rPr>
        <w:t>Elbogen</w:t>
      </w:r>
      <w:proofErr w:type="spellEnd"/>
      <w:r w:rsidRPr="0071045B">
        <w:rPr>
          <w:rFonts w:asciiTheme="majorHAnsi" w:eastAsia="Calibri" w:hAnsiTheme="majorHAnsi" w:cstheme="majorHAnsi"/>
          <w:sz w:val="22"/>
          <w:szCs w:val="22"/>
        </w:rPr>
        <w:t xml:space="preserve">, E. B., Wagner, H. R., Kimbrel, N. A., </w:t>
      </w:r>
      <w:proofErr w:type="spellStart"/>
      <w:r w:rsidRPr="0071045B">
        <w:rPr>
          <w:rFonts w:asciiTheme="majorHAnsi" w:eastAsia="Calibri" w:hAnsiTheme="majorHAnsi" w:cstheme="majorHAnsi"/>
          <w:sz w:val="22"/>
          <w:szCs w:val="22"/>
        </w:rPr>
        <w:t>Brancu</w:t>
      </w:r>
      <w:proofErr w:type="spellEnd"/>
      <w:r w:rsidRPr="0071045B">
        <w:rPr>
          <w:rFonts w:asciiTheme="majorHAnsi" w:eastAsia="Calibri" w:hAnsiTheme="majorHAnsi" w:cstheme="majorHAnsi"/>
          <w:sz w:val="22"/>
          <w:szCs w:val="22"/>
        </w:rPr>
        <w:t xml:space="preserve">, M., Naylor, J., Graziano, R., Crawford, E., &amp; VA Mid-Atlantic MIRECC Workgroup (2018). Risk factors for concurrent suicide ideation and violent impulses in military veterans, </w:t>
      </w:r>
      <w:r w:rsidRPr="0071045B">
        <w:rPr>
          <w:rFonts w:asciiTheme="majorHAnsi" w:eastAsia="Calibri" w:hAnsiTheme="majorHAnsi" w:cstheme="majorHAnsi"/>
          <w:i/>
          <w:sz w:val="22"/>
          <w:szCs w:val="22"/>
        </w:rPr>
        <w:t>Psychological Assessment</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30</w:t>
      </w:r>
      <w:r w:rsidRPr="0071045B">
        <w:rPr>
          <w:rFonts w:asciiTheme="majorHAnsi" w:eastAsia="Calibri" w:hAnsiTheme="majorHAnsi" w:cstheme="majorHAnsi"/>
          <w:sz w:val="22"/>
          <w:szCs w:val="22"/>
        </w:rPr>
        <w:t>(4), 425-435.</w:t>
      </w:r>
    </w:p>
    <w:p w14:paraId="2BC5D521" w14:textId="7FEA00A4" w:rsidR="00634E18" w:rsidRPr="0071045B" w:rsidRDefault="00634E18" w:rsidP="00634E18">
      <w:pPr>
        <w:ind w:left="1440" w:hanging="720"/>
        <w:rPr>
          <w:rFonts w:asciiTheme="majorHAnsi" w:hAnsiTheme="majorHAnsi" w:cstheme="majorHAnsi"/>
          <w:color w:val="000000"/>
          <w:sz w:val="22"/>
          <w:szCs w:val="22"/>
          <w:shd w:val="clear" w:color="auto" w:fill="FAF8F6"/>
        </w:rPr>
      </w:pPr>
      <w:r w:rsidRPr="0071045B">
        <w:rPr>
          <w:rFonts w:asciiTheme="majorHAnsi" w:hAnsiTheme="majorHAnsi" w:cstheme="majorHAnsi"/>
          <w:color w:val="000000"/>
          <w:sz w:val="22"/>
          <w:szCs w:val="22"/>
          <w:shd w:val="clear" w:color="auto" w:fill="FAF8F6"/>
        </w:rPr>
        <w:t>National Academies of Sciences, Engineering, and Medicine (2018). </w:t>
      </w:r>
      <w:r w:rsidR="00FC63F4" w:rsidRPr="0071045B">
        <w:rPr>
          <w:rFonts w:asciiTheme="majorHAnsi" w:hAnsiTheme="majorHAnsi" w:cstheme="majorHAnsi"/>
          <w:color w:val="000000"/>
          <w:sz w:val="22"/>
          <w:szCs w:val="22"/>
          <w:shd w:val="clear" w:color="auto" w:fill="FAF8F6"/>
        </w:rPr>
        <w:t>Clinical management of mental health conditions at the Veterans Health Administration</w:t>
      </w:r>
      <w:r w:rsidR="009C4F73" w:rsidRPr="0071045B">
        <w:rPr>
          <w:rFonts w:asciiTheme="majorHAnsi" w:hAnsiTheme="majorHAnsi" w:cstheme="majorHAnsi"/>
          <w:color w:val="000000"/>
          <w:sz w:val="22"/>
          <w:szCs w:val="22"/>
          <w:shd w:val="clear" w:color="auto" w:fill="FAF8F6"/>
        </w:rPr>
        <w:t xml:space="preserve">. In </w:t>
      </w:r>
      <w:r w:rsidRPr="0071045B">
        <w:rPr>
          <w:rFonts w:asciiTheme="majorHAnsi" w:hAnsiTheme="majorHAnsi" w:cstheme="majorHAnsi"/>
          <w:i/>
          <w:iCs/>
          <w:color w:val="000000"/>
          <w:sz w:val="22"/>
          <w:szCs w:val="22"/>
          <w:shd w:val="clear" w:color="auto" w:fill="FAF8F6"/>
        </w:rPr>
        <w:t>Evaluation of the Department of Veterans Affairs Mental Health Services.</w:t>
      </w:r>
      <w:r w:rsidRPr="0071045B">
        <w:rPr>
          <w:rFonts w:asciiTheme="majorHAnsi" w:hAnsiTheme="majorHAnsi" w:cstheme="majorHAnsi"/>
          <w:color w:val="000000"/>
          <w:sz w:val="22"/>
          <w:szCs w:val="22"/>
          <w:shd w:val="clear" w:color="auto" w:fill="FAF8F6"/>
        </w:rPr>
        <w:t xml:space="preserve"> Washington, DC: The National Academies Press. </w:t>
      </w:r>
      <w:proofErr w:type="spellStart"/>
      <w:r w:rsidRPr="0071045B">
        <w:rPr>
          <w:rFonts w:asciiTheme="majorHAnsi" w:hAnsiTheme="majorHAnsi" w:cstheme="majorHAnsi"/>
          <w:color w:val="000000"/>
          <w:sz w:val="22"/>
          <w:szCs w:val="22"/>
          <w:shd w:val="clear" w:color="auto" w:fill="FAF8F6"/>
        </w:rPr>
        <w:t>doi</w:t>
      </w:r>
      <w:proofErr w:type="spellEnd"/>
      <w:r w:rsidRPr="0071045B">
        <w:rPr>
          <w:rFonts w:asciiTheme="majorHAnsi" w:hAnsiTheme="majorHAnsi" w:cstheme="majorHAnsi"/>
          <w:color w:val="000000"/>
          <w:sz w:val="22"/>
          <w:szCs w:val="22"/>
          <w:shd w:val="clear" w:color="auto" w:fill="FAF8F6"/>
        </w:rPr>
        <w:t>: </w:t>
      </w:r>
      <w:hyperlink r:id="rId14" w:history="1">
        <w:r w:rsidRPr="0071045B">
          <w:rPr>
            <w:rFonts w:asciiTheme="majorHAnsi" w:hAnsiTheme="majorHAnsi" w:cstheme="majorHAnsi"/>
            <w:color w:val="446CB3"/>
            <w:sz w:val="22"/>
            <w:szCs w:val="22"/>
            <w:u w:val="single"/>
            <w:shd w:val="clear" w:color="auto" w:fill="FAF8F6"/>
          </w:rPr>
          <w:t>https://doi.org/10.17226/24915</w:t>
        </w:r>
      </w:hyperlink>
      <w:r w:rsidRPr="0071045B">
        <w:rPr>
          <w:rFonts w:asciiTheme="majorHAnsi" w:hAnsiTheme="majorHAnsi" w:cstheme="majorHAnsi"/>
          <w:color w:val="000000"/>
          <w:sz w:val="22"/>
          <w:szCs w:val="22"/>
          <w:shd w:val="clear" w:color="auto" w:fill="FAF8F6"/>
        </w:rPr>
        <w:t>.</w:t>
      </w:r>
    </w:p>
    <w:p w14:paraId="00C45782" w14:textId="77777777" w:rsidR="00FC63F4" w:rsidRPr="0071045B" w:rsidRDefault="00FC63F4" w:rsidP="00FC63F4">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Ringer, F. B., </w:t>
      </w:r>
      <w:proofErr w:type="spellStart"/>
      <w:r w:rsidRPr="0071045B">
        <w:rPr>
          <w:rFonts w:asciiTheme="majorHAnsi" w:eastAsia="Calibri" w:hAnsiTheme="majorHAnsi" w:cstheme="majorHAnsi"/>
          <w:sz w:val="22"/>
          <w:szCs w:val="22"/>
        </w:rPr>
        <w:t>Soberay</w:t>
      </w:r>
      <w:proofErr w:type="spellEnd"/>
      <w:r w:rsidRPr="0071045B">
        <w:rPr>
          <w:rFonts w:asciiTheme="majorHAnsi" w:eastAsia="Calibri" w:hAnsiTheme="majorHAnsi" w:cstheme="majorHAnsi"/>
          <w:sz w:val="22"/>
          <w:szCs w:val="22"/>
        </w:rPr>
        <w:t xml:space="preserve">, K. A., Rogers, M. L., Hagan, C. R., Chu, C., Schneider, M., </w:t>
      </w:r>
      <w:proofErr w:type="spellStart"/>
      <w:r w:rsidRPr="0071045B">
        <w:rPr>
          <w:rFonts w:asciiTheme="majorHAnsi" w:eastAsia="Calibri" w:hAnsiTheme="majorHAnsi" w:cstheme="majorHAnsi"/>
          <w:sz w:val="22"/>
          <w:szCs w:val="22"/>
        </w:rPr>
        <w:t>Podlogar</w:t>
      </w:r>
      <w:proofErr w:type="spellEnd"/>
      <w:r w:rsidRPr="0071045B">
        <w:rPr>
          <w:rFonts w:asciiTheme="majorHAnsi" w:eastAsia="Calibri" w:hAnsiTheme="majorHAnsi" w:cstheme="majorHAnsi"/>
          <w:sz w:val="22"/>
          <w:szCs w:val="22"/>
        </w:rPr>
        <w:t>, M. C., Witte, T., Holm-</w:t>
      </w:r>
      <w:proofErr w:type="spellStart"/>
      <w:r w:rsidRPr="0071045B">
        <w:rPr>
          <w:rFonts w:asciiTheme="majorHAnsi" w:eastAsia="Calibri" w:hAnsiTheme="majorHAnsi" w:cstheme="majorHAnsi"/>
          <w:sz w:val="22"/>
          <w:szCs w:val="22"/>
        </w:rPr>
        <w:t>Denoma</w:t>
      </w:r>
      <w:proofErr w:type="spellEnd"/>
      <w:r w:rsidRPr="0071045B">
        <w:rPr>
          <w:rFonts w:asciiTheme="majorHAnsi" w:eastAsia="Calibri" w:hAnsiTheme="majorHAnsi" w:cstheme="majorHAnsi"/>
          <w:sz w:val="22"/>
          <w:szCs w:val="22"/>
        </w:rPr>
        <w:t xml:space="preserve">, J., Plant, E. A., Gutierrez, P. M., &amp; Joiner, T. E. (2018). Initial validation of brief measures of suicide risk factors: Common data elements used by the military suicide research consortium. </w:t>
      </w:r>
      <w:r w:rsidRPr="0071045B">
        <w:rPr>
          <w:rFonts w:asciiTheme="majorHAnsi" w:eastAsia="Calibri" w:hAnsiTheme="majorHAnsi" w:cstheme="majorHAnsi"/>
          <w:i/>
          <w:sz w:val="22"/>
          <w:szCs w:val="22"/>
        </w:rPr>
        <w:t>Psychological Assessment</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30</w:t>
      </w:r>
      <w:r w:rsidRPr="0071045B">
        <w:rPr>
          <w:rFonts w:asciiTheme="majorHAnsi" w:eastAsia="Calibri" w:hAnsiTheme="majorHAnsi" w:cstheme="majorHAnsi"/>
          <w:sz w:val="22"/>
          <w:szCs w:val="22"/>
        </w:rPr>
        <w:t>(6), 767-778.</w:t>
      </w:r>
    </w:p>
    <w:p w14:paraId="2E1EBF4D" w14:textId="2D721555" w:rsidR="00FC63F4" w:rsidRPr="0071045B" w:rsidRDefault="00FC63F4" w:rsidP="008F6B0D">
      <w:pPr>
        <w:widowControl w:val="0"/>
        <w:ind w:left="1440" w:hanging="720"/>
        <w:rPr>
          <w:rFonts w:asciiTheme="majorHAnsi" w:eastAsia="Calibri" w:hAnsiTheme="majorHAnsi" w:cstheme="majorHAnsi"/>
          <w:sz w:val="22"/>
          <w:szCs w:val="22"/>
        </w:rPr>
      </w:pPr>
      <w:proofErr w:type="spellStart"/>
      <w:r w:rsidRPr="0071045B">
        <w:rPr>
          <w:rFonts w:asciiTheme="majorHAnsi" w:eastAsia="Calibri" w:hAnsiTheme="majorHAnsi" w:cstheme="majorHAnsi"/>
          <w:sz w:val="22"/>
          <w:szCs w:val="22"/>
        </w:rPr>
        <w:t>Stecker</w:t>
      </w:r>
      <w:proofErr w:type="spellEnd"/>
      <w:r w:rsidRPr="0071045B">
        <w:rPr>
          <w:rFonts w:asciiTheme="majorHAnsi" w:eastAsia="Calibri" w:hAnsiTheme="majorHAnsi" w:cstheme="majorHAnsi"/>
          <w:sz w:val="22"/>
          <w:szCs w:val="22"/>
        </w:rPr>
        <w:t xml:space="preserve">, T., Fortney, J. C., Hamilton, F., &amp; </w:t>
      </w:r>
      <w:proofErr w:type="spellStart"/>
      <w:r w:rsidRPr="0071045B">
        <w:rPr>
          <w:rFonts w:asciiTheme="majorHAnsi" w:eastAsia="Calibri" w:hAnsiTheme="majorHAnsi" w:cstheme="majorHAnsi"/>
          <w:sz w:val="22"/>
          <w:szCs w:val="22"/>
        </w:rPr>
        <w:t>Ajzen</w:t>
      </w:r>
      <w:proofErr w:type="spellEnd"/>
      <w:r w:rsidRPr="0071045B">
        <w:rPr>
          <w:rFonts w:asciiTheme="majorHAnsi" w:eastAsia="Calibri" w:hAnsiTheme="majorHAnsi" w:cstheme="majorHAnsi"/>
          <w:sz w:val="22"/>
          <w:szCs w:val="22"/>
        </w:rPr>
        <w:t xml:space="preserve">, I. (2007). An assessment of beliefs about mental health care among veterans who served in Iraq. </w:t>
      </w:r>
      <w:r w:rsidRPr="0071045B">
        <w:rPr>
          <w:rFonts w:asciiTheme="majorHAnsi" w:eastAsia="Calibri" w:hAnsiTheme="majorHAnsi" w:cstheme="majorHAnsi"/>
          <w:i/>
          <w:sz w:val="22"/>
          <w:szCs w:val="22"/>
        </w:rPr>
        <w:t>Psychiatric Services</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58</w:t>
      </w:r>
      <w:r w:rsidRPr="0071045B">
        <w:rPr>
          <w:rFonts w:asciiTheme="majorHAnsi" w:eastAsia="Calibri" w:hAnsiTheme="majorHAnsi" w:cstheme="majorHAnsi"/>
          <w:sz w:val="22"/>
          <w:szCs w:val="22"/>
        </w:rPr>
        <w:t>, 1358-1361.</w:t>
      </w:r>
    </w:p>
    <w:p w14:paraId="338C8268" w14:textId="77777777" w:rsidR="003F6C85" w:rsidRPr="0071045B" w:rsidRDefault="003F6C85" w:rsidP="008F6B0D">
      <w:pPr>
        <w:widowControl w:val="0"/>
        <w:ind w:left="1440" w:hanging="720"/>
        <w:rPr>
          <w:rFonts w:asciiTheme="majorHAnsi" w:eastAsia="Calibri" w:hAnsiTheme="majorHAnsi" w:cstheme="majorHAnsi"/>
          <w:sz w:val="22"/>
          <w:szCs w:val="22"/>
        </w:rPr>
      </w:pPr>
    </w:p>
    <w:p w14:paraId="4E772A43" w14:textId="77777777" w:rsidR="008F6B0D" w:rsidRPr="0071045B" w:rsidRDefault="008F6B0D" w:rsidP="008F6B0D">
      <w:pPr>
        <w:widowControl w:val="0"/>
        <w:ind w:left="720" w:hanging="720"/>
        <w:rPr>
          <w:rFonts w:asciiTheme="majorHAnsi" w:eastAsia="Calibri" w:hAnsiTheme="majorHAnsi" w:cstheme="majorHAnsi"/>
          <w:sz w:val="22"/>
          <w:szCs w:val="22"/>
          <w:u w:val="single"/>
        </w:rPr>
      </w:pPr>
      <w:r w:rsidRPr="0071045B">
        <w:rPr>
          <w:rFonts w:asciiTheme="majorHAnsi" w:eastAsia="Calibri" w:hAnsiTheme="majorHAnsi" w:cstheme="majorHAnsi"/>
          <w:sz w:val="22"/>
          <w:szCs w:val="22"/>
          <w:u w:val="single"/>
        </w:rPr>
        <w:t>Elderly</w:t>
      </w:r>
    </w:p>
    <w:p w14:paraId="4C9D346A" w14:textId="624CF27A" w:rsidR="008F6B0D" w:rsidRDefault="008F6B0D" w:rsidP="008F6B0D">
      <w:pPr>
        <w:widowControl w:val="0"/>
        <w:ind w:left="1440" w:hanging="720"/>
        <w:rPr>
          <w:rFonts w:asciiTheme="majorHAnsi" w:eastAsia="Calibri" w:hAnsiTheme="majorHAnsi" w:cstheme="majorHAnsi"/>
          <w:sz w:val="22"/>
          <w:szCs w:val="22"/>
        </w:rPr>
      </w:pPr>
      <w:proofErr w:type="spellStart"/>
      <w:r w:rsidRPr="0071045B">
        <w:rPr>
          <w:rFonts w:asciiTheme="majorHAnsi" w:eastAsia="Calibri" w:hAnsiTheme="majorHAnsi" w:cstheme="majorHAnsi"/>
          <w:sz w:val="22"/>
          <w:szCs w:val="22"/>
        </w:rPr>
        <w:t>Ramaprasad</w:t>
      </w:r>
      <w:proofErr w:type="spellEnd"/>
      <w:r w:rsidRPr="0071045B">
        <w:rPr>
          <w:rFonts w:asciiTheme="majorHAnsi" w:eastAsia="Calibri" w:hAnsiTheme="majorHAnsi" w:cstheme="majorHAnsi"/>
          <w:sz w:val="22"/>
          <w:szCs w:val="22"/>
        </w:rPr>
        <w:t xml:space="preserve">, D., Rao, N. S., &amp; </w:t>
      </w:r>
      <w:proofErr w:type="spellStart"/>
      <w:r w:rsidRPr="0071045B">
        <w:rPr>
          <w:rFonts w:asciiTheme="majorHAnsi" w:eastAsia="Calibri" w:hAnsiTheme="majorHAnsi" w:cstheme="majorHAnsi"/>
          <w:sz w:val="22"/>
          <w:szCs w:val="22"/>
        </w:rPr>
        <w:t>Kalyanasundaram</w:t>
      </w:r>
      <w:proofErr w:type="spellEnd"/>
      <w:r w:rsidRPr="0071045B">
        <w:rPr>
          <w:rFonts w:asciiTheme="majorHAnsi" w:eastAsia="Calibri" w:hAnsiTheme="majorHAnsi" w:cstheme="majorHAnsi"/>
          <w:sz w:val="22"/>
          <w:szCs w:val="22"/>
        </w:rPr>
        <w:t xml:space="preserve">, S. (2015). Disability and quality of life among elderly persons with mental illness. </w:t>
      </w:r>
      <w:r w:rsidRPr="0071045B">
        <w:rPr>
          <w:rFonts w:asciiTheme="majorHAnsi" w:eastAsia="Calibri" w:hAnsiTheme="majorHAnsi" w:cstheme="majorHAnsi"/>
          <w:i/>
          <w:sz w:val="22"/>
          <w:szCs w:val="22"/>
        </w:rPr>
        <w:t>Asian Journal of Psychiatry</w:t>
      </w:r>
      <w:r w:rsidRPr="0071045B">
        <w:rPr>
          <w:rFonts w:asciiTheme="majorHAnsi" w:eastAsia="Calibri" w:hAnsiTheme="majorHAnsi" w:cstheme="majorHAnsi"/>
          <w:sz w:val="22"/>
          <w:szCs w:val="22"/>
        </w:rPr>
        <w:t xml:space="preserve">, </w:t>
      </w:r>
      <w:r w:rsidRPr="0071045B">
        <w:rPr>
          <w:rFonts w:asciiTheme="majorHAnsi" w:eastAsia="Calibri" w:hAnsiTheme="majorHAnsi" w:cstheme="majorHAnsi"/>
          <w:i/>
          <w:sz w:val="22"/>
          <w:szCs w:val="22"/>
        </w:rPr>
        <w:t>18</w:t>
      </w:r>
      <w:r w:rsidRPr="0071045B">
        <w:rPr>
          <w:rFonts w:asciiTheme="majorHAnsi" w:eastAsia="Calibri" w:hAnsiTheme="majorHAnsi" w:cstheme="majorHAnsi"/>
          <w:sz w:val="22"/>
          <w:szCs w:val="22"/>
        </w:rPr>
        <w:t>, 31-36.</w:t>
      </w:r>
    </w:p>
    <w:p w14:paraId="3CFF2C74" w14:textId="4829D56E" w:rsidR="007D5786" w:rsidRPr="0071045B" w:rsidRDefault="007D5786" w:rsidP="008F6B0D">
      <w:pPr>
        <w:widowControl w:val="0"/>
        <w:ind w:left="1440" w:hanging="720"/>
        <w:rPr>
          <w:rFonts w:asciiTheme="majorHAnsi" w:eastAsia="Calibri" w:hAnsiTheme="majorHAnsi" w:cstheme="majorHAnsi"/>
          <w:sz w:val="22"/>
          <w:szCs w:val="22"/>
        </w:rPr>
      </w:pPr>
      <w:r>
        <w:rPr>
          <w:rFonts w:asciiTheme="majorHAnsi" w:eastAsia="Calibri" w:hAnsiTheme="majorHAnsi" w:cstheme="majorHAnsi"/>
          <w:sz w:val="22"/>
          <w:szCs w:val="22"/>
        </w:rPr>
        <w:t xml:space="preserve">Sheehan, B. (2012). Assessment scales in dementia. </w:t>
      </w:r>
      <w:r w:rsidR="00FC2199" w:rsidRPr="00FC2199">
        <w:rPr>
          <w:rFonts w:asciiTheme="majorHAnsi" w:eastAsia="Calibri" w:hAnsiTheme="majorHAnsi" w:cstheme="majorHAnsi"/>
          <w:i/>
          <w:sz w:val="22"/>
          <w:szCs w:val="22"/>
        </w:rPr>
        <w:t>Therapeutic Advances in Neurological Disorders</w:t>
      </w:r>
      <w:r w:rsidR="00FC2199">
        <w:rPr>
          <w:rFonts w:asciiTheme="majorHAnsi" w:eastAsia="Calibri" w:hAnsiTheme="majorHAnsi" w:cstheme="majorHAnsi"/>
          <w:sz w:val="22"/>
          <w:szCs w:val="22"/>
        </w:rPr>
        <w:t xml:space="preserve">, </w:t>
      </w:r>
      <w:r w:rsidR="00FC2199" w:rsidRPr="00FC2199">
        <w:rPr>
          <w:rFonts w:asciiTheme="majorHAnsi" w:eastAsia="Calibri" w:hAnsiTheme="majorHAnsi" w:cstheme="majorHAnsi"/>
          <w:i/>
          <w:sz w:val="22"/>
          <w:szCs w:val="22"/>
        </w:rPr>
        <w:t>5</w:t>
      </w:r>
      <w:r w:rsidR="00FC2199">
        <w:rPr>
          <w:rFonts w:asciiTheme="majorHAnsi" w:eastAsia="Calibri" w:hAnsiTheme="majorHAnsi" w:cstheme="majorHAnsi"/>
          <w:sz w:val="22"/>
          <w:szCs w:val="22"/>
        </w:rPr>
        <w:t>(6), 349-358.</w:t>
      </w:r>
    </w:p>
    <w:p w14:paraId="3CFC1438" w14:textId="70D46F6C" w:rsidR="008F6B0D" w:rsidRPr="0071045B" w:rsidRDefault="008F6B0D" w:rsidP="008F6B0D">
      <w:pPr>
        <w:widowControl w:val="0"/>
        <w:ind w:left="1440" w:hanging="720"/>
        <w:rPr>
          <w:rFonts w:asciiTheme="majorHAnsi" w:eastAsia="Calibri" w:hAnsiTheme="majorHAnsi" w:cstheme="majorHAnsi"/>
          <w:sz w:val="22"/>
          <w:szCs w:val="22"/>
        </w:rPr>
      </w:pPr>
      <w:r w:rsidRPr="0071045B">
        <w:rPr>
          <w:rFonts w:asciiTheme="majorHAnsi" w:eastAsia="Calibri" w:hAnsiTheme="majorHAnsi" w:cstheme="majorHAnsi"/>
          <w:sz w:val="22"/>
          <w:szCs w:val="22"/>
        </w:rPr>
        <w:t xml:space="preserve">Sue, D. W., &amp; Sue, D., Neville, H. A., &amp; Smith, L. (2019). Counseling older adults. In D. Sue, D. Sue, H. Neville, and L. Smith (Eds.), </w:t>
      </w:r>
      <w:r w:rsidRPr="0071045B">
        <w:rPr>
          <w:rFonts w:asciiTheme="majorHAnsi" w:eastAsia="Calibri" w:hAnsiTheme="majorHAnsi" w:cstheme="majorHAnsi"/>
          <w:i/>
          <w:sz w:val="22"/>
          <w:szCs w:val="22"/>
        </w:rPr>
        <w:t>Counseling the culturally diverse: Theory and practice</w:t>
      </w:r>
      <w:r w:rsidRPr="0071045B">
        <w:rPr>
          <w:rFonts w:asciiTheme="majorHAnsi" w:eastAsia="Calibri" w:hAnsiTheme="majorHAnsi" w:cstheme="majorHAnsi"/>
          <w:sz w:val="22"/>
          <w:szCs w:val="22"/>
        </w:rPr>
        <w:t xml:space="preserve"> (8</w:t>
      </w:r>
      <w:r w:rsidRPr="0071045B">
        <w:rPr>
          <w:rFonts w:asciiTheme="majorHAnsi" w:eastAsia="Calibri" w:hAnsiTheme="majorHAnsi" w:cstheme="majorHAnsi"/>
          <w:sz w:val="22"/>
          <w:szCs w:val="22"/>
          <w:vertAlign w:val="superscript"/>
        </w:rPr>
        <w:t>th</w:t>
      </w:r>
      <w:r w:rsidRPr="0071045B">
        <w:rPr>
          <w:rFonts w:asciiTheme="majorHAnsi" w:eastAsia="Calibri" w:hAnsiTheme="majorHAnsi" w:cstheme="majorHAnsi"/>
          <w:sz w:val="22"/>
          <w:szCs w:val="22"/>
        </w:rPr>
        <w:t xml:space="preserve"> ed., pp. 458-473). Wiley.</w:t>
      </w:r>
    </w:p>
    <w:p w14:paraId="2FAD574B" w14:textId="2966D377" w:rsidR="00FD5520" w:rsidRPr="0071045B" w:rsidRDefault="00FD5520" w:rsidP="009C743F">
      <w:pPr>
        <w:widowControl w:val="0"/>
        <w:ind w:left="720" w:hanging="720"/>
        <w:rPr>
          <w:rFonts w:asciiTheme="majorHAnsi" w:eastAsia="Calibri" w:hAnsiTheme="majorHAnsi" w:cstheme="majorHAnsi"/>
          <w:sz w:val="22"/>
          <w:szCs w:val="22"/>
        </w:rPr>
      </w:pPr>
    </w:p>
    <w:p w14:paraId="7E4C546D" w14:textId="77777777" w:rsidR="00FD19E5" w:rsidRPr="0071045B" w:rsidRDefault="000022E4">
      <w:pPr>
        <w:widowControl w:val="0"/>
        <w:spacing w:before="9"/>
        <w:rPr>
          <w:rFonts w:asciiTheme="majorHAnsi" w:eastAsia="Calibri" w:hAnsiTheme="majorHAnsi" w:cstheme="majorHAnsi"/>
          <w:b/>
          <w:sz w:val="22"/>
          <w:szCs w:val="22"/>
        </w:rPr>
      </w:pPr>
      <w:bookmarkStart w:id="4" w:name="_heading=h.3dy6vkm" w:colFirst="0" w:colLast="0"/>
      <w:bookmarkEnd w:id="4"/>
      <w:r w:rsidRPr="0071045B">
        <w:rPr>
          <w:rFonts w:asciiTheme="majorHAnsi" w:eastAsia="Calibri" w:hAnsiTheme="majorHAnsi" w:cstheme="majorHAnsi"/>
          <w:b/>
          <w:sz w:val="22"/>
          <w:szCs w:val="22"/>
        </w:rPr>
        <w:t xml:space="preserve">Course Requirements </w:t>
      </w:r>
    </w:p>
    <w:p w14:paraId="57B705DA" w14:textId="7B60B4CC" w:rsidR="00FD5520" w:rsidRPr="0071045B" w:rsidRDefault="000022E4" w:rsidP="00B3394C">
      <w:pPr>
        <w:widowControl w:val="0"/>
        <w:spacing w:before="9"/>
        <w:rPr>
          <w:rFonts w:asciiTheme="majorHAnsi" w:eastAsia="Calibri" w:hAnsiTheme="majorHAnsi" w:cstheme="majorHAnsi"/>
          <w:sz w:val="22"/>
          <w:szCs w:val="22"/>
        </w:rPr>
      </w:pPr>
      <w:r w:rsidRPr="0071045B">
        <w:rPr>
          <w:rFonts w:asciiTheme="majorHAnsi" w:eastAsia="Calibri" w:hAnsiTheme="majorHAnsi" w:cstheme="majorHAnsi"/>
          <w:b/>
          <w:sz w:val="22"/>
          <w:szCs w:val="22"/>
        </w:rPr>
        <w:t xml:space="preserve">Attendance and Participation. </w:t>
      </w:r>
      <w:r w:rsidRPr="0071045B">
        <w:rPr>
          <w:rFonts w:asciiTheme="majorHAnsi" w:eastAsia="Calibri" w:hAnsiTheme="majorHAnsi" w:cstheme="majorHAnsi"/>
          <w:sz w:val="22"/>
          <w:szCs w:val="22"/>
        </w:rPr>
        <w:t xml:space="preserve">Regular attendance and active participation in class discussions and role-plays are required. </w:t>
      </w:r>
      <w:r w:rsidRPr="0071045B">
        <w:rPr>
          <w:rFonts w:asciiTheme="majorHAnsi" w:eastAsia="Calibri" w:hAnsiTheme="majorHAnsi" w:cstheme="majorHAnsi"/>
          <w:color w:val="000000"/>
          <w:sz w:val="22"/>
          <w:szCs w:val="22"/>
        </w:rPr>
        <w:t>Therefore, students are expected to attend every class, arrive on time, complete</w:t>
      </w:r>
      <w:r w:rsidR="0071045B" w:rsidRPr="0071045B">
        <w:rPr>
          <w:rFonts w:asciiTheme="majorHAnsi" w:eastAsia="Calibri" w:hAnsiTheme="majorHAnsi" w:cstheme="majorHAnsi"/>
          <w:color w:val="000000"/>
          <w:sz w:val="22"/>
          <w:szCs w:val="22"/>
        </w:rPr>
        <w:t xml:space="preserve"> all</w:t>
      </w:r>
      <w:r w:rsidRPr="0071045B">
        <w:rPr>
          <w:rFonts w:asciiTheme="majorHAnsi" w:eastAsia="Calibri" w:hAnsiTheme="majorHAnsi" w:cstheme="majorHAnsi"/>
          <w:color w:val="000000"/>
          <w:sz w:val="22"/>
          <w:szCs w:val="22"/>
        </w:rPr>
        <w:t xml:space="preserve"> assigned readings, actively participate in class discussions, complete all in-class assignments, and behave appropriately and professionally at all times. Failure to meet these expectations will </w:t>
      </w:r>
      <w:r w:rsidRPr="0071045B">
        <w:rPr>
          <w:rFonts w:asciiTheme="majorHAnsi" w:eastAsia="Calibri" w:hAnsiTheme="majorHAnsi" w:cstheme="majorHAnsi"/>
          <w:sz w:val="22"/>
          <w:szCs w:val="22"/>
        </w:rPr>
        <w:t>result in an individual meeting with the instructor, and if severe or chronic</w:t>
      </w:r>
      <w:r w:rsidR="00FD19E5" w:rsidRPr="0071045B">
        <w:rPr>
          <w:rFonts w:asciiTheme="majorHAnsi" w:eastAsia="Calibri" w:hAnsiTheme="majorHAnsi" w:cstheme="majorHAnsi"/>
          <w:sz w:val="22"/>
          <w:szCs w:val="22"/>
        </w:rPr>
        <w:t>,</w:t>
      </w:r>
      <w:r w:rsidRPr="0071045B">
        <w:rPr>
          <w:rFonts w:asciiTheme="majorHAnsi" w:eastAsia="Calibri" w:hAnsiTheme="majorHAnsi" w:cstheme="majorHAnsi"/>
          <w:sz w:val="22"/>
          <w:szCs w:val="22"/>
        </w:rPr>
        <w:t xml:space="preserve"> will result in a meeting with the student’s academic advisor for remediation. Late or absent students are responsible for missed material, and m</w:t>
      </w:r>
      <w:r w:rsidRPr="0071045B">
        <w:rPr>
          <w:rFonts w:asciiTheme="majorHAnsi" w:eastAsia="Calibri" w:hAnsiTheme="majorHAnsi" w:cstheme="majorHAnsi"/>
          <w:color w:val="000000"/>
          <w:sz w:val="22"/>
          <w:szCs w:val="22"/>
        </w:rPr>
        <w:t>ore than two unexcused absences will require additional work and may result in loss of credit for the course.</w:t>
      </w:r>
    </w:p>
    <w:p w14:paraId="2368689E" w14:textId="77777777" w:rsidR="00FD5520" w:rsidRPr="0071045B" w:rsidRDefault="00FD5520" w:rsidP="00B3394C">
      <w:pPr>
        <w:widowControl w:val="0"/>
        <w:spacing w:before="9"/>
        <w:rPr>
          <w:rFonts w:asciiTheme="majorHAnsi" w:eastAsia="Calibri" w:hAnsiTheme="majorHAnsi" w:cstheme="majorHAnsi"/>
          <w:sz w:val="22"/>
          <w:szCs w:val="22"/>
        </w:rPr>
      </w:pPr>
    </w:p>
    <w:p w14:paraId="5C3253D3" w14:textId="18AAEAF6" w:rsidR="00FD5520" w:rsidRPr="0071045B" w:rsidRDefault="000022E4" w:rsidP="00FD19E5">
      <w:pPr>
        <w:widowControl w:val="0"/>
        <w:spacing w:before="9"/>
        <w:rPr>
          <w:rFonts w:asciiTheme="majorHAnsi" w:eastAsia="Calibri" w:hAnsiTheme="majorHAnsi" w:cstheme="majorHAnsi"/>
          <w:sz w:val="22"/>
          <w:szCs w:val="22"/>
        </w:rPr>
      </w:pPr>
      <w:r w:rsidRPr="0071045B">
        <w:rPr>
          <w:rFonts w:asciiTheme="majorHAnsi" w:eastAsia="Calibri" w:hAnsiTheme="majorHAnsi" w:cstheme="majorHAnsi"/>
          <w:sz w:val="22"/>
          <w:szCs w:val="22"/>
        </w:rPr>
        <w:t>Students are expected to familiarize themselves with all assigned materials ahead of time and to come prepared to discuss and/or apply them in class. The readings listed for a particular class date are the readings that will be discussed on that date, so please read them ahead and come prepared to discuss them or do activities based on the readings.</w:t>
      </w:r>
      <w:r w:rsidR="00B3394C" w:rsidRPr="0071045B">
        <w:rPr>
          <w:rFonts w:asciiTheme="majorHAnsi" w:eastAsia="Calibri" w:hAnsiTheme="majorHAnsi" w:cstheme="majorHAnsi"/>
          <w:sz w:val="22"/>
          <w:szCs w:val="22"/>
        </w:rPr>
        <w:t xml:space="preserve"> Attendance and participation are worth 10% of your grade, or </w:t>
      </w:r>
      <w:r w:rsidR="00B3394C" w:rsidRPr="0071045B">
        <w:rPr>
          <w:rFonts w:asciiTheme="majorHAnsi" w:eastAsia="Calibri" w:hAnsiTheme="majorHAnsi" w:cstheme="majorHAnsi"/>
          <w:b/>
          <w:sz w:val="22"/>
          <w:szCs w:val="22"/>
        </w:rPr>
        <w:t>1</w:t>
      </w:r>
      <w:r w:rsidR="00012D1B" w:rsidRPr="0071045B">
        <w:rPr>
          <w:rFonts w:asciiTheme="majorHAnsi" w:eastAsia="Calibri" w:hAnsiTheme="majorHAnsi" w:cstheme="majorHAnsi"/>
          <w:b/>
          <w:sz w:val="22"/>
          <w:szCs w:val="22"/>
        </w:rPr>
        <w:t>0</w:t>
      </w:r>
      <w:r w:rsidR="00B3394C" w:rsidRPr="0071045B">
        <w:rPr>
          <w:rFonts w:asciiTheme="majorHAnsi" w:eastAsia="Calibri" w:hAnsiTheme="majorHAnsi" w:cstheme="majorHAnsi"/>
          <w:b/>
          <w:sz w:val="22"/>
          <w:szCs w:val="22"/>
        </w:rPr>
        <w:t xml:space="preserve"> points</w:t>
      </w:r>
      <w:r w:rsidR="00B3394C" w:rsidRPr="0071045B">
        <w:rPr>
          <w:rFonts w:asciiTheme="majorHAnsi" w:eastAsia="Calibri" w:hAnsiTheme="majorHAnsi" w:cstheme="majorHAnsi"/>
          <w:sz w:val="22"/>
          <w:szCs w:val="22"/>
        </w:rPr>
        <w:t xml:space="preserve"> </w:t>
      </w:r>
      <w:r w:rsidR="00B3394C" w:rsidRPr="0071045B">
        <w:rPr>
          <w:rFonts w:asciiTheme="majorHAnsi" w:eastAsia="Calibri" w:hAnsiTheme="majorHAnsi" w:cstheme="majorHAnsi"/>
          <w:b/>
          <w:sz w:val="22"/>
          <w:szCs w:val="22"/>
        </w:rPr>
        <w:t>total</w:t>
      </w:r>
      <w:r w:rsidR="00B3394C" w:rsidRPr="0071045B">
        <w:rPr>
          <w:rFonts w:asciiTheme="majorHAnsi" w:eastAsia="Calibri" w:hAnsiTheme="majorHAnsi" w:cstheme="majorHAnsi"/>
          <w:sz w:val="22"/>
          <w:szCs w:val="22"/>
        </w:rPr>
        <w:t>.</w:t>
      </w:r>
    </w:p>
    <w:p w14:paraId="4043A6AE" w14:textId="77777777" w:rsidR="00FD5520" w:rsidRPr="0071045B" w:rsidRDefault="00FD5520">
      <w:pPr>
        <w:pBdr>
          <w:top w:val="nil"/>
          <w:left w:val="nil"/>
          <w:bottom w:val="nil"/>
          <w:right w:val="nil"/>
          <w:between w:val="nil"/>
        </w:pBdr>
        <w:ind w:left="720"/>
        <w:rPr>
          <w:rFonts w:asciiTheme="majorHAnsi" w:eastAsia="Calibri" w:hAnsiTheme="majorHAnsi" w:cstheme="majorHAnsi"/>
          <w:b/>
          <w:color w:val="000000"/>
          <w:sz w:val="22"/>
          <w:szCs w:val="22"/>
        </w:rPr>
      </w:pPr>
    </w:p>
    <w:p w14:paraId="5CA5D1A9" w14:textId="49D4BF63" w:rsidR="00B3394C" w:rsidRPr="0071045B" w:rsidRDefault="0012760D" w:rsidP="00012D1B">
      <w:pPr>
        <w:rPr>
          <w:rFonts w:asciiTheme="majorHAnsi" w:hAnsiTheme="majorHAnsi" w:cstheme="majorHAnsi"/>
          <w:sz w:val="22"/>
          <w:szCs w:val="22"/>
        </w:rPr>
      </w:pPr>
      <w:r w:rsidRPr="0071045B">
        <w:rPr>
          <w:rFonts w:asciiTheme="majorHAnsi" w:hAnsiTheme="majorHAnsi" w:cstheme="majorHAnsi"/>
          <w:b/>
          <w:sz w:val="22"/>
          <w:szCs w:val="22"/>
        </w:rPr>
        <w:t>Problem-</w:t>
      </w:r>
      <w:r w:rsidR="00B3394C" w:rsidRPr="0071045B">
        <w:rPr>
          <w:rFonts w:asciiTheme="majorHAnsi" w:hAnsiTheme="majorHAnsi" w:cstheme="majorHAnsi"/>
          <w:b/>
          <w:sz w:val="22"/>
          <w:szCs w:val="22"/>
        </w:rPr>
        <w:t>B</w:t>
      </w:r>
      <w:r w:rsidRPr="0071045B">
        <w:rPr>
          <w:rFonts w:asciiTheme="majorHAnsi" w:hAnsiTheme="majorHAnsi" w:cstheme="majorHAnsi"/>
          <w:b/>
          <w:sz w:val="22"/>
          <w:szCs w:val="22"/>
        </w:rPr>
        <w:t xml:space="preserve">ased Learning – Learning Issues (PBL-LI) </w:t>
      </w:r>
      <w:r w:rsidRPr="0071045B">
        <w:rPr>
          <w:rFonts w:asciiTheme="majorHAnsi" w:hAnsiTheme="majorHAnsi" w:cstheme="majorHAnsi"/>
          <w:sz w:val="22"/>
          <w:szCs w:val="22"/>
        </w:rPr>
        <w:t xml:space="preserve">– Students will be required to </w:t>
      </w:r>
      <w:r w:rsidR="00B3394C" w:rsidRPr="0071045B">
        <w:rPr>
          <w:rFonts w:asciiTheme="majorHAnsi" w:hAnsiTheme="majorHAnsi" w:cstheme="majorHAnsi"/>
          <w:sz w:val="22"/>
          <w:szCs w:val="22"/>
        </w:rPr>
        <w:t>submit a</w:t>
      </w:r>
      <w:r w:rsidRPr="0071045B">
        <w:rPr>
          <w:rFonts w:asciiTheme="majorHAnsi" w:hAnsiTheme="majorHAnsi" w:cstheme="majorHAnsi"/>
          <w:sz w:val="22"/>
          <w:szCs w:val="22"/>
        </w:rPr>
        <w:t xml:space="preserve"> 1-2 page paper</w:t>
      </w:r>
      <w:r w:rsidR="00B3394C" w:rsidRPr="0071045B">
        <w:rPr>
          <w:rFonts w:asciiTheme="majorHAnsi" w:hAnsiTheme="majorHAnsi" w:cstheme="majorHAnsi"/>
          <w:sz w:val="22"/>
          <w:szCs w:val="22"/>
        </w:rPr>
        <w:t xml:space="preserve"> and </w:t>
      </w:r>
      <w:r w:rsidR="00012D1B" w:rsidRPr="0071045B">
        <w:rPr>
          <w:rFonts w:asciiTheme="majorHAnsi" w:hAnsiTheme="majorHAnsi" w:cstheme="majorHAnsi"/>
          <w:sz w:val="22"/>
          <w:szCs w:val="22"/>
        </w:rPr>
        <w:t xml:space="preserve">give </w:t>
      </w:r>
      <w:r w:rsidR="00B3394C" w:rsidRPr="0071045B">
        <w:rPr>
          <w:rFonts w:asciiTheme="majorHAnsi" w:hAnsiTheme="majorHAnsi" w:cstheme="majorHAnsi"/>
          <w:sz w:val="22"/>
          <w:szCs w:val="22"/>
        </w:rPr>
        <w:t xml:space="preserve">a 10-minute in-class oral presentation </w:t>
      </w:r>
      <w:r w:rsidRPr="0071045B">
        <w:rPr>
          <w:rFonts w:asciiTheme="majorHAnsi" w:hAnsiTheme="majorHAnsi" w:cstheme="majorHAnsi"/>
          <w:sz w:val="22"/>
          <w:szCs w:val="22"/>
        </w:rPr>
        <w:t>on</w:t>
      </w:r>
      <w:r w:rsidR="00B3394C" w:rsidRPr="0071045B">
        <w:rPr>
          <w:rFonts w:asciiTheme="majorHAnsi" w:hAnsiTheme="majorHAnsi" w:cstheme="majorHAnsi"/>
          <w:sz w:val="22"/>
          <w:szCs w:val="22"/>
        </w:rPr>
        <w:t xml:space="preserve"> </w:t>
      </w:r>
      <w:r w:rsidR="009C743F" w:rsidRPr="0071045B">
        <w:rPr>
          <w:rFonts w:asciiTheme="majorHAnsi" w:hAnsiTheme="majorHAnsi" w:cstheme="majorHAnsi"/>
          <w:sz w:val="22"/>
          <w:szCs w:val="22"/>
        </w:rPr>
        <w:t xml:space="preserve">a </w:t>
      </w:r>
      <w:r w:rsidRPr="0071045B">
        <w:rPr>
          <w:rFonts w:asciiTheme="majorHAnsi" w:hAnsiTheme="majorHAnsi" w:cstheme="majorHAnsi"/>
          <w:sz w:val="22"/>
          <w:szCs w:val="22"/>
        </w:rPr>
        <w:t>learning issue that emerge</w:t>
      </w:r>
      <w:r w:rsidR="009C743F" w:rsidRPr="0071045B">
        <w:rPr>
          <w:rFonts w:asciiTheme="majorHAnsi" w:hAnsiTheme="majorHAnsi" w:cstheme="majorHAnsi"/>
          <w:sz w:val="22"/>
          <w:szCs w:val="22"/>
        </w:rPr>
        <w:t>s</w:t>
      </w:r>
      <w:r w:rsidRPr="0071045B">
        <w:rPr>
          <w:rFonts w:asciiTheme="majorHAnsi" w:hAnsiTheme="majorHAnsi" w:cstheme="majorHAnsi"/>
          <w:sz w:val="22"/>
          <w:szCs w:val="22"/>
        </w:rPr>
        <w:t xml:space="preserve"> from </w:t>
      </w:r>
      <w:r w:rsidR="00012D1B" w:rsidRPr="0071045B">
        <w:rPr>
          <w:rFonts w:asciiTheme="majorHAnsi" w:hAnsiTheme="majorHAnsi" w:cstheme="majorHAnsi"/>
          <w:sz w:val="22"/>
          <w:szCs w:val="22"/>
        </w:rPr>
        <w:t xml:space="preserve">each of the two </w:t>
      </w:r>
      <w:r w:rsidRPr="0071045B">
        <w:rPr>
          <w:rFonts w:asciiTheme="majorHAnsi" w:hAnsiTheme="majorHAnsi" w:cstheme="majorHAnsi"/>
          <w:sz w:val="22"/>
          <w:szCs w:val="22"/>
        </w:rPr>
        <w:t>Problem-</w:t>
      </w:r>
      <w:r w:rsidR="009C743F" w:rsidRPr="0071045B">
        <w:rPr>
          <w:rFonts w:asciiTheme="majorHAnsi" w:hAnsiTheme="majorHAnsi" w:cstheme="majorHAnsi"/>
          <w:sz w:val="22"/>
          <w:szCs w:val="22"/>
        </w:rPr>
        <w:t>B</w:t>
      </w:r>
      <w:r w:rsidRPr="0071045B">
        <w:rPr>
          <w:rFonts w:asciiTheme="majorHAnsi" w:hAnsiTheme="majorHAnsi" w:cstheme="majorHAnsi"/>
          <w:sz w:val="22"/>
          <w:szCs w:val="22"/>
        </w:rPr>
        <w:t>ased Learning (PBL) activit</w:t>
      </w:r>
      <w:r w:rsidR="00012D1B" w:rsidRPr="0071045B">
        <w:rPr>
          <w:rFonts w:asciiTheme="majorHAnsi" w:hAnsiTheme="majorHAnsi" w:cstheme="majorHAnsi"/>
          <w:sz w:val="22"/>
          <w:szCs w:val="22"/>
        </w:rPr>
        <w:t>ies</w:t>
      </w:r>
      <w:r w:rsidR="00B3394C" w:rsidRPr="0071045B">
        <w:rPr>
          <w:rFonts w:asciiTheme="majorHAnsi" w:hAnsiTheme="majorHAnsi" w:cstheme="majorHAnsi"/>
          <w:sz w:val="22"/>
          <w:szCs w:val="22"/>
        </w:rPr>
        <w:t xml:space="preserve"> related to </w:t>
      </w:r>
      <w:r w:rsidR="00012D1B" w:rsidRPr="0071045B">
        <w:rPr>
          <w:rFonts w:asciiTheme="majorHAnsi" w:hAnsiTheme="majorHAnsi" w:cstheme="majorHAnsi"/>
          <w:sz w:val="22"/>
          <w:szCs w:val="22"/>
        </w:rPr>
        <w:t>two clinical cases</w:t>
      </w:r>
      <w:r w:rsidRPr="0071045B">
        <w:rPr>
          <w:rFonts w:asciiTheme="majorHAnsi" w:hAnsiTheme="majorHAnsi" w:cstheme="majorHAnsi"/>
          <w:sz w:val="22"/>
          <w:szCs w:val="22"/>
        </w:rPr>
        <w:t xml:space="preserve"> (</w:t>
      </w:r>
      <w:r w:rsidR="00B3394C" w:rsidRPr="0071045B">
        <w:rPr>
          <w:rFonts w:asciiTheme="majorHAnsi" w:hAnsiTheme="majorHAnsi" w:cstheme="majorHAnsi"/>
          <w:sz w:val="22"/>
          <w:szCs w:val="22"/>
        </w:rPr>
        <w:t>see</w:t>
      </w:r>
      <w:r w:rsidRPr="0071045B">
        <w:rPr>
          <w:rFonts w:asciiTheme="majorHAnsi" w:hAnsiTheme="majorHAnsi" w:cstheme="majorHAnsi"/>
          <w:sz w:val="22"/>
          <w:szCs w:val="22"/>
        </w:rPr>
        <w:t xml:space="preserve"> the course schedule)</w:t>
      </w:r>
      <w:r w:rsidR="009C743F" w:rsidRPr="0071045B">
        <w:rPr>
          <w:rFonts w:asciiTheme="majorHAnsi" w:hAnsiTheme="majorHAnsi" w:cstheme="majorHAnsi"/>
          <w:sz w:val="22"/>
          <w:szCs w:val="22"/>
        </w:rPr>
        <w:t xml:space="preserve"> over the course of the term</w:t>
      </w:r>
      <w:r w:rsidRPr="0071045B">
        <w:rPr>
          <w:rFonts w:asciiTheme="majorHAnsi" w:hAnsiTheme="majorHAnsi" w:cstheme="majorHAnsi"/>
          <w:sz w:val="22"/>
          <w:szCs w:val="22"/>
        </w:rPr>
        <w:t xml:space="preserve">. </w:t>
      </w:r>
      <w:r w:rsidR="00012D1B" w:rsidRPr="0071045B">
        <w:rPr>
          <w:rFonts w:asciiTheme="majorHAnsi" w:hAnsiTheme="majorHAnsi" w:cstheme="majorHAnsi"/>
          <w:sz w:val="22"/>
          <w:szCs w:val="22"/>
        </w:rPr>
        <w:t xml:space="preserve">For each PBL Learning Issue, the paper </w:t>
      </w:r>
      <w:r w:rsidR="00B3394C" w:rsidRPr="0071045B">
        <w:rPr>
          <w:rFonts w:asciiTheme="majorHAnsi" w:hAnsiTheme="majorHAnsi" w:cstheme="majorHAnsi"/>
          <w:sz w:val="22"/>
          <w:szCs w:val="22"/>
        </w:rPr>
        <w:t xml:space="preserve">and </w:t>
      </w:r>
      <w:r w:rsidR="00012D1B" w:rsidRPr="0071045B">
        <w:rPr>
          <w:rFonts w:asciiTheme="majorHAnsi" w:hAnsiTheme="majorHAnsi" w:cstheme="majorHAnsi"/>
          <w:sz w:val="22"/>
          <w:szCs w:val="22"/>
        </w:rPr>
        <w:t>the associated 10-</w:t>
      </w:r>
      <w:r w:rsidR="0071045B" w:rsidRPr="0071045B">
        <w:rPr>
          <w:rFonts w:asciiTheme="majorHAnsi" w:hAnsiTheme="majorHAnsi" w:cstheme="majorHAnsi"/>
          <w:sz w:val="22"/>
          <w:szCs w:val="22"/>
        </w:rPr>
        <w:t xml:space="preserve">15 </w:t>
      </w:r>
      <w:r w:rsidR="00012D1B" w:rsidRPr="0071045B">
        <w:rPr>
          <w:rFonts w:asciiTheme="majorHAnsi" w:hAnsiTheme="majorHAnsi" w:cstheme="majorHAnsi"/>
          <w:sz w:val="22"/>
          <w:szCs w:val="22"/>
        </w:rPr>
        <w:t xml:space="preserve">minute presentation will be worth </w:t>
      </w:r>
      <w:r w:rsidR="00B3394C" w:rsidRPr="0071045B">
        <w:rPr>
          <w:rFonts w:asciiTheme="majorHAnsi" w:hAnsiTheme="majorHAnsi" w:cstheme="majorHAnsi"/>
          <w:sz w:val="22"/>
          <w:szCs w:val="22"/>
        </w:rPr>
        <w:t>5 points</w:t>
      </w:r>
      <w:r w:rsidR="00012D1B" w:rsidRPr="0071045B">
        <w:rPr>
          <w:rFonts w:asciiTheme="majorHAnsi" w:hAnsiTheme="majorHAnsi" w:cstheme="majorHAnsi"/>
          <w:sz w:val="22"/>
          <w:szCs w:val="22"/>
        </w:rPr>
        <w:t>, each</w:t>
      </w:r>
      <w:r w:rsidR="009C743F" w:rsidRPr="0071045B">
        <w:rPr>
          <w:rFonts w:asciiTheme="majorHAnsi" w:hAnsiTheme="majorHAnsi" w:cstheme="majorHAnsi"/>
          <w:sz w:val="22"/>
          <w:szCs w:val="22"/>
        </w:rPr>
        <w:t>.  There will be two PBLs, thus two LI reports and presentations</w:t>
      </w:r>
      <w:r w:rsidR="00B3394C" w:rsidRPr="0071045B">
        <w:rPr>
          <w:rFonts w:asciiTheme="majorHAnsi" w:hAnsiTheme="majorHAnsi" w:cstheme="majorHAnsi"/>
          <w:sz w:val="22"/>
          <w:szCs w:val="22"/>
        </w:rPr>
        <w:t xml:space="preserve"> (</w:t>
      </w:r>
      <w:r w:rsidR="00012D1B" w:rsidRPr="0071045B">
        <w:rPr>
          <w:rFonts w:asciiTheme="majorHAnsi" w:hAnsiTheme="majorHAnsi" w:cstheme="majorHAnsi"/>
          <w:b/>
          <w:sz w:val="22"/>
          <w:szCs w:val="22"/>
        </w:rPr>
        <w:t>2</w:t>
      </w:r>
      <w:r w:rsidR="00B3394C" w:rsidRPr="0071045B">
        <w:rPr>
          <w:rFonts w:asciiTheme="majorHAnsi" w:hAnsiTheme="majorHAnsi" w:cstheme="majorHAnsi"/>
          <w:b/>
          <w:sz w:val="22"/>
          <w:szCs w:val="22"/>
        </w:rPr>
        <w:t>0 points total</w:t>
      </w:r>
      <w:r w:rsidR="00B3394C" w:rsidRPr="0071045B">
        <w:rPr>
          <w:rFonts w:asciiTheme="majorHAnsi" w:hAnsiTheme="majorHAnsi" w:cstheme="majorHAnsi"/>
          <w:sz w:val="22"/>
          <w:szCs w:val="22"/>
        </w:rPr>
        <w:t>).</w:t>
      </w:r>
    </w:p>
    <w:p w14:paraId="006BDB96" w14:textId="44D3C7FB" w:rsidR="00AD3AA5" w:rsidRPr="0071045B" w:rsidRDefault="00AD3AA5">
      <w:pPr>
        <w:pBdr>
          <w:top w:val="nil"/>
          <w:left w:val="nil"/>
          <w:bottom w:val="nil"/>
          <w:right w:val="nil"/>
          <w:between w:val="nil"/>
        </w:pBdr>
        <w:rPr>
          <w:rFonts w:asciiTheme="majorHAnsi" w:hAnsiTheme="majorHAnsi" w:cstheme="majorHAnsi"/>
          <w:sz w:val="22"/>
          <w:szCs w:val="22"/>
        </w:rPr>
      </w:pPr>
    </w:p>
    <w:p w14:paraId="6C5F1589" w14:textId="12335C56" w:rsidR="00BC7E88" w:rsidRPr="0071045B" w:rsidRDefault="00AD3AA5" w:rsidP="00BC7E88">
      <w:pPr>
        <w:rPr>
          <w:rFonts w:asciiTheme="majorHAnsi" w:hAnsiTheme="majorHAnsi" w:cstheme="majorHAnsi"/>
          <w:sz w:val="22"/>
          <w:szCs w:val="22"/>
        </w:rPr>
      </w:pPr>
      <w:r w:rsidRPr="0071045B">
        <w:rPr>
          <w:rFonts w:asciiTheme="majorHAnsi" w:hAnsiTheme="majorHAnsi" w:cstheme="majorHAnsi"/>
          <w:b/>
          <w:sz w:val="22"/>
          <w:szCs w:val="22"/>
        </w:rPr>
        <w:t>Teach-In</w:t>
      </w:r>
      <w:r w:rsidRPr="0071045B">
        <w:rPr>
          <w:rFonts w:asciiTheme="majorHAnsi" w:hAnsiTheme="majorHAnsi" w:cstheme="majorHAnsi"/>
          <w:sz w:val="22"/>
          <w:szCs w:val="22"/>
        </w:rPr>
        <w:t xml:space="preserve"> – Students will be required to teach the class about the specific guidelines </w:t>
      </w:r>
      <w:r w:rsidR="000C1E62" w:rsidRPr="0071045B">
        <w:rPr>
          <w:rFonts w:asciiTheme="majorHAnsi" w:hAnsiTheme="majorHAnsi" w:cstheme="majorHAnsi"/>
          <w:sz w:val="22"/>
          <w:szCs w:val="22"/>
        </w:rPr>
        <w:t>for practitioners</w:t>
      </w:r>
      <w:r w:rsidR="00941F60" w:rsidRPr="0071045B">
        <w:rPr>
          <w:rFonts w:asciiTheme="majorHAnsi" w:hAnsiTheme="majorHAnsi" w:cstheme="majorHAnsi"/>
          <w:sz w:val="22"/>
          <w:szCs w:val="22"/>
        </w:rPr>
        <w:t xml:space="preserve"> </w:t>
      </w:r>
      <w:r w:rsidR="000C1E62" w:rsidRPr="0071045B">
        <w:rPr>
          <w:rFonts w:asciiTheme="majorHAnsi" w:hAnsiTheme="majorHAnsi" w:cstheme="majorHAnsi"/>
          <w:sz w:val="22"/>
          <w:szCs w:val="22"/>
        </w:rPr>
        <w:t>working with</w:t>
      </w:r>
      <w:r w:rsidR="00941F60" w:rsidRPr="0071045B">
        <w:rPr>
          <w:rFonts w:asciiTheme="majorHAnsi" w:hAnsiTheme="majorHAnsi" w:cstheme="majorHAnsi"/>
          <w:sz w:val="22"/>
          <w:szCs w:val="22"/>
        </w:rPr>
        <w:t xml:space="preserve"> special populations. </w:t>
      </w:r>
      <w:r w:rsidR="00BC7E88" w:rsidRPr="0071045B">
        <w:rPr>
          <w:rFonts w:asciiTheme="majorHAnsi" w:hAnsiTheme="majorHAnsi" w:cstheme="majorHAnsi"/>
          <w:sz w:val="22"/>
          <w:szCs w:val="22"/>
        </w:rPr>
        <w:t>Students will be required to assign 1-2 peer-reviewed journal articles per topic (in addition to the APA guidelines) and cover the important content and diversity-based considerations in a 15-</w:t>
      </w:r>
      <w:r w:rsidR="00BC7E88" w:rsidRPr="0071045B">
        <w:rPr>
          <w:rFonts w:asciiTheme="majorHAnsi" w:hAnsiTheme="majorHAnsi" w:cstheme="majorHAnsi"/>
          <w:sz w:val="22"/>
          <w:szCs w:val="22"/>
        </w:rPr>
        <w:lastRenderedPageBreak/>
        <w:t xml:space="preserve">minute PowerPoint presentation. Students may request one of the guidelines, below, or one will be assigned to each student, randomly. Approval must be given to avoid duplication of coverage – </w:t>
      </w:r>
      <w:r w:rsidR="00FD19E5" w:rsidRPr="0071045B">
        <w:rPr>
          <w:rFonts w:asciiTheme="majorHAnsi" w:hAnsiTheme="majorHAnsi" w:cstheme="majorHAnsi"/>
          <w:sz w:val="22"/>
          <w:szCs w:val="22"/>
        </w:rPr>
        <w:t xml:space="preserve">guidelines </w:t>
      </w:r>
      <w:r w:rsidR="00BC7E88" w:rsidRPr="0071045B">
        <w:rPr>
          <w:rFonts w:asciiTheme="majorHAnsi" w:hAnsiTheme="majorHAnsi" w:cstheme="majorHAnsi"/>
          <w:sz w:val="22"/>
          <w:szCs w:val="22"/>
        </w:rPr>
        <w:t xml:space="preserve">will be assigned on a first-come, first-served basis. Teach-In grading will be based </w:t>
      </w:r>
      <w:r w:rsidR="00FD19E5" w:rsidRPr="0071045B">
        <w:rPr>
          <w:rFonts w:asciiTheme="majorHAnsi" w:hAnsiTheme="majorHAnsi" w:cstheme="majorHAnsi"/>
          <w:sz w:val="22"/>
          <w:szCs w:val="22"/>
        </w:rPr>
        <w:t xml:space="preserve">upon </w:t>
      </w:r>
      <w:r w:rsidR="00BC7E88" w:rsidRPr="0071045B">
        <w:rPr>
          <w:rFonts w:asciiTheme="majorHAnsi" w:hAnsiTheme="majorHAnsi" w:cstheme="majorHAnsi"/>
          <w:sz w:val="22"/>
          <w:szCs w:val="22"/>
        </w:rPr>
        <w:t xml:space="preserve">accuracy and breadth of coverage (10 points each, </w:t>
      </w:r>
      <w:r w:rsidR="00BC7E88" w:rsidRPr="0071045B">
        <w:rPr>
          <w:rFonts w:asciiTheme="majorHAnsi" w:hAnsiTheme="majorHAnsi" w:cstheme="majorHAnsi"/>
          <w:b/>
          <w:sz w:val="22"/>
          <w:szCs w:val="22"/>
        </w:rPr>
        <w:t>20 points total</w:t>
      </w:r>
      <w:r w:rsidR="00BC7E88" w:rsidRPr="0071045B">
        <w:rPr>
          <w:rFonts w:asciiTheme="majorHAnsi" w:hAnsiTheme="majorHAnsi" w:cstheme="majorHAnsi"/>
          <w:sz w:val="22"/>
          <w:szCs w:val="22"/>
        </w:rPr>
        <w:t>).</w:t>
      </w:r>
      <w:r w:rsidR="001A3050">
        <w:rPr>
          <w:rFonts w:asciiTheme="majorHAnsi" w:hAnsiTheme="majorHAnsi" w:cstheme="majorHAnsi"/>
          <w:sz w:val="22"/>
          <w:szCs w:val="22"/>
        </w:rPr>
        <w:t xml:space="preserve"> This is not a comprehensive list – for example, guidelines in working with </w:t>
      </w:r>
      <w:r w:rsidR="001A3050" w:rsidRPr="001A3050">
        <w:rPr>
          <w:rFonts w:asciiTheme="majorHAnsi" w:hAnsiTheme="majorHAnsi" w:cstheme="majorHAnsi"/>
          <w:color w:val="0070C0"/>
          <w:sz w:val="22"/>
          <w:szCs w:val="22"/>
        </w:rPr>
        <w:t>boys/men</w:t>
      </w:r>
      <w:r w:rsidR="001A3050">
        <w:rPr>
          <w:rFonts w:asciiTheme="majorHAnsi" w:hAnsiTheme="majorHAnsi" w:cstheme="majorHAnsi"/>
          <w:color w:val="0070C0"/>
          <w:sz w:val="22"/>
          <w:szCs w:val="22"/>
        </w:rPr>
        <w:t>, TBI,</w:t>
      </w:r>
      <w:r w:rsidR="001A3050" w:rsidRPr="001A3050">
        <w:rPr>
          <w:rFonts w:asciiTheme="majorHAnsi" w:hAnsiTheme="majorHAnsi" w:cstheme="majorHAnsi"/>
          <w:color w:val="0070C0"/>
          <w:sz w:val="22"/>
          <w:szCs w:val="22"/>
        </w:rPr>
        <w:t xml:space="preserve"> </w:t>
      </w:r>
      <w:r w:rsidR="001A3050">
        <w:rPr>
          <w:rFonts w:asciiTheme="majorHAnsi" w:hAnsiTheme="majorHAnsi" w:cstheme="majorHAnsi"/>
          <w:sz w:val="22"/>
          <w:szCs w:val="22"/>
        </w:rPr>
        <w:t xml:space="preserve">and assessing and treating </w:t>
      </w:r>
      <w:r w:rsidR="001A3050" w:rsidRPr="001A3050">
        <w:rPr>
          <w:rFonts w:asciiTheme="majorHAnsi" w:hAnsiTheme="majorHAnsi" w:cstheme="majorHAnsi"/>
          <w:color w:val="0070C0"/>
          <w:sz w:val="22"/>
          <w:szCs w:val="22"/>
        </w:rPr>
        <w:t xml:space="preserve">incarcerated populations </w:t>
      </w:r>
      <w:r w:rsidR="001A3050">
        <w:rPr>
          <w:rFonts w:asciiTheme="majorHAnsi" w:hAnsiTheme="majorHAnsi" w:cstheme="majorHAnsi"/>
          <w:sz w:val="22"/>
          <w:szCs w:val="22"/>
        </w:rPr>
        <w:t>would be acceptable topics as they are not covered within the scope of this class, directly.</w:t>
      </w:r>
    </w:p>
    <w:p w14:paraId="75B99A3D" w14:textId="77777777" w:rsidR="00BC7E88" w:rsidRPr="0071045B" w:rsidRDefault="00BC7E88">
      <w:pPr>
        <w:pBdr>
          <w:top w:val="nil"/>
          <w:left w:val="nil"/>
          <w:bottom w:val="nil"/>
          <w:right w:val="nil"/>
          <w:between w:val="nil"/>
        </w:pBdr>
        <w:rPr>
          <w:rFonts w:asciiTheme="majorHAnsi" w:hAnsiTheme="majorHAnsi" w:cstheme="majorHAnsi"/>
          <w:sz w:val="22"/>
          <w:szCs w:val="22"/>
        </w:rPr>
      </w:pPr>
    </w:p>
    <w:p w14:paraId="0BABD4C2" w14:textId="5F02490E" w:rsidR="00AD3AA5" w:rsidRPr="0071045B" w:rsidRDefault="00941F60">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This includes the following APA Guidelines:</w:t>
      </w:r>
    </w:p>
    <w:p w14:paraId="30A02D4B" w14:textId="7497C769" w:rsidR="00941F60" w:rsidRPr="0071045B" w:rsidRDefault="00941F60">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15" w:history="1">
        <w:r w:rsidRPr="0071045B">
          <w:rPr>
            <w:rStyle w:val="Hyperlink"/>
            <w:rFonts w:asciiTheme="majorHAnsi" w:hAnsiTheme="majorHAnsi" w:cstheme="majorHAnsi"/>
            <w:sz w:val="22"/>
            <w:szCs w:val="22"/>
          </w:rPr>
          <w:t>Persons with disabilities</w:t>
        </w:r>
      </w:hyperlink>
    </w:p>
    <w:p w14:paraId="3C14B733" w14:textId="069FFCBF" w:rsidR="00941F60" w:rsidRPr="0071045B" w:rsidRDefault="00941F60">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16" w:history="1">
        <w:r w:rsidRPr="0071045B">
          <w:rPr>
            <w:rStyle w:val="Hyperlink"/>
            <w:rFonts w:asciiTheme="majorHAnsi" w:hAnsiTheme="majorHAnsi" w:cstheme="majorHAnsi"/>
            <w:sz w:val="22"/>
            <w:szCs w:val="22"/>
          </w:rPr>
          <w:t>Ethnically, Linguistically, and Culturally Diverse populations</w:t>
        </w:r>
      </w:hyperlink>
    </w:p>
    <w:p w14:paraId="42AFE41C" w14:textId="095AEF2E" w:rsidR="000C1E62" w:rsidRPr="0071045B" w:rsidRDefault="000C1E62">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17" w:history="1">
        <w:r w:rsidRPr="0071045B">
          <w:rPr>
            <w:rStyle w:val="Hyperlink"/>
            <w:rFonts w:asciiTheme="majorHAnsi" w:hAnsiTheme="majorHAnsi" w:cstheme="majorHAnsi"/>
            <w:sz w:val="22"/>
            <w:szCs w:val="22"/>
          </w:rPr>
          <w:t>Military Service Members, Veterans and their families</w:t>
        </w:r>
      </w:hyperlink>
    </w:p>
    <w:p w14:paraId="3FC46E11" w14:textId="0D4C06B5" w:rsidR="00941F60" w:rsidRPr="0071045B" w:rsidRDefault="00941F60">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18" w:history="1">
        <w:r w:rsidRPr="0071045B">
          <w:rPr>
            <w:rStyle w:val="Hyperlink"/>
            <w:rFonts w:asciiTheme="majorHAnsi" w:hAnsiTheme="majorHAnsi" w:cstheme="majorHAnsi"/>
            <w:sz w:val="22"/>
            <w:szCs w:val="22"/>
          </w:rPr>
          <w:t>PTSD in Adults</w:t>
        </w:r>
      </w:hyperlink>
    </w:p>
    <w:p w14:paraId="38AA09C6" w14:textId="712581D7" w:rsidR="005D73CB" w:rsidRPr="0071045B" w:rsidRDefault="005D73CB">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r>
      <w:hyperlink r:id="rId19" w:history="1">
        <w:r w:rsidRPr="0071045B">
          <w:rPr>
            <w:rStyle w:val="Hyperlink"/>
            <w:rFonts w:asciiTheme="majorHAnsi" w:hAnsiTheme="majorHAnsi" w:cstheme="majorHAnsi"/>
            <w:sz w:val="22"/>
            <w:szCs w:val="22"/>
          </w:rPr>
          <w:t>-LBG clients</w:t>
        </w:r>
      </w:hyperlink>
    </w:p>
    <w:p w14:paraId="46F310E3" w14:textId="03C56CA8" w:rsidR="005D73CB" w:rsidRPr="0071045B" w:rsidRDefault="005D73CB">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20" w:history="1">
        <w:r w:rsidRPr="0071045B">
          <w:rPr>
            <w:rStyle w:val="Hyperlink"/>
            <w:rFonts w:asciiTheme="majorHAnsi" w:hAnsiTheme="majorHAnsi" w:cstheme="majorHAnsi"/>
            <w:sz w:val="22"/>
            <w:szCs w:val="22"/>
          </w:rPr>
          <w:t>Older adults</w:t>
        </w:r>
      </w:hyperlink>
    </w:p>
    <w:p w14:paraId="280D85EB" w14:textId="22B7D477" w:rsidR="000C1E62" w:rsidRPr="0071045B" w:rsidRDefault="000C1E62">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21" w:history="1">
        <w:r w:rsidRPr="0071045B">
          <w:rPr>
            <w:rStyle w:val="Hyperlink"/>
            <w:rFonts w:asciiTheme="majorHAnsi" w:hAnsiTheme="majorHAnsi" w:cstheme="majorHAnsi"/>
            <w:sz w:val="22"/>
            <w:szCs w:val="22"/>
          </w:rPr>
          <w:t>Girls &amp; Women</w:t>
        </w:r>
      </w:hyperlink>
    </w:p>
    <w:p w14:paraId="015EA6B6" w14:textId="1792FC78" w:rsidR="000C1E62" w:rsidRPr="0071045B" w:rsidRDefault="000C1E62">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22" w:history="1">
        <w:r w:rsidRPr="0071045B">
          <w:rPr>
            <w:rStyle w:val="Hyperlink"/>
            <w:rFonts w:asciiTheme="majorHAnsi" w:hAnsiTheme="majorHAnsi" w:cstheme="majorHAnsi"/>
            <w:sz w:val="22"/>
            <w:szCs w:val="22"/>
          </w:rPr>
          <w:t>Transgender &amp; Gender non-conforming people</w:t>
        </w:r>
      </w:hyperlink>
    </w:p>
    <w:p w14:paraId="7CEC55D1" w14:textId="6B96C532" w:rsidR="000C1E62" w:rsidRPr="0071045B" w:rsidRDefault="000C1E62">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23" w:history="1">
        <w:r w:rsidRPr="0071045B">
          <w:rPr>
            <w:rStyle w:val="Hyperlink"/>
            <w:rFonts w:asciiTheme="majorHAnsi" w:hAnsiTheme="majorHAnsi" w:cstheme="majorHAnsi"/>
            <w:sz w:val="22"/>
            <w:szCs w:val="22"/>
          </w:rPr>
          <w:t>Multicultural – context, identity, and intersectionality</w:t>
        </w:r>
      </w:hyperlink>
    </w:p>
    <w:p w14:paraId="12180268" w14:textId="5B88EAA0" w:rsidR="000C1E62" w:rsidRPr="0071045B" w:rsidRDefault="000C1E62">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24" w:history="1">
        <w:r w:rsidRPr="0071045B">
          <w:rPr>
            <w:rStyle w:val="Hyperlink"/>
            <w:rFonts w:asciiTheme="majorHAnsi" w:hAnsiTheme="majorHAnsi" w:cstheme="majorHAnsi"/>
            <w:sz w:val="22"/>
            <w:szCs w:val="22"/>
          </w:rPr>
          <w:t>Dementia and age-related cognitive change</w:t>
        </w:r>
      </w:hyperlink>
    </w:p>
    <w:p w14:paraId="2E9DF210" w14:textId="3DCA29D7" w:rsidR="000C1E62" w:rsidRPr="0071045B" w:rsidRDefault="000C1E62">
      <w:pPr>
        <w:pBdr>
          <w:top w:val="nil"/>
          <w:left w:val="nil"/>
          <w:bottom w:val="nil"/>
          <w:right w:val="nil"/>
          <w:between w:val="nil"/>
        </w:pBdr>
        <w:rPr>
          <w:rStyle w:val="Hyperlink"/>
          <w:rFonts w:asciiTheme="majorHAnsi" w:hAnsiTheme="majorHAnsi" w:cstheme="majorHAnsi"/>
          <w:sz w:val="22"/>
          <w:szCs w:val="22"/>
        </w:rPr>
      </w:pPr>
      <w:r w:rsidRPr="0071045B">
        <w:rPr>
          <w:rFonts w:asciiTheme="majorHAnsi" w:hAnsiTheme="majorHAnsi" w:cstheme="majorHAnsi"/>
          <w:sz w:val="22"/>
          <w:szCs w:val="22"/>
        </w:rPr>
        <w:tab/>
        <w:t>-</w:t>
      </w:r>
      <w:hyperlink r:id="rId25" w:history="1">
        <w:r w:rsidRPr="0071045B">
          <w:rPr>
            <w:rStyle w:val="Hyperlink"/>
            <w:rFonts w:asciiTheme="majorHAnsi" w:hAnsiTheme="majorHAnsi" w:cstheme="majorHAnsi"/>
            <w:sz w:val="22"/>
            <w:szCs w:val="22"/>
          </w:rPr>
          <w:t>Treatment of obesity and overweight children and adolescents</w:t>
        </w:r>
      </w:hyperlink>
    </w:p>
    <w:p w14:paraId="0FB3F141" w14:textId="764387B2" w:rsidR="00EC5296" w:rsidRPr="0071045B" w:rsidRDefault="00EC5296">
      <w:pPr>
        <w:pBdr>
          <w:top w:val="nil"/>
          <w:left w:val="nil"/>
          <w:bottom w:val="nil"/>
          <w:right w:val="nil"/>
          <w:between w:val="nil"/>
        </w:pBdr>
        <w:rPr>
          <w:rFonts w:asciiTheme="majorHAnsi" w:hAnsiTheme="majorHAnsi" w:cstheme="majorHAnsi"/>
          <w:sz w:val="22"/>
          <w:szCs w:val="22"/>
        </w:rPr>
      </w:pPr>
      <w:r w:rsidRPr="0071045B">
        <w:rPr>
          <w:rFonts w:asciiTheme="majorHAnsi" w:hAnsiTheme="majorHAnsi" w:cstheme="majorHAnsi"/>
          <w:sz w:val="22"/>
          <w:szCs w:val="22"/>
        </w:rPr>
        <w:tab/>
        <w:t>-</w:t>
      </w:r>
      <w:hyperlink r:id="rId26" w:history="1">
        <w:r w:rsidRPr="0071045B">
          <w:rPr>
            <w:rStyle w:val="Hyperlink"/>
            <w:rFonts w:asciiTheme="majorHAnsi" w:hAnsiTheme="majorHAnsi" w:cstheme="majorHAnsi"/>
            <w:sz w:val="22"/>
            <w:szCs w:val="22"/>
          </w:rPr>
          <w:t>Low Income/Eco</w:t>
        </w:r>
        <w:r w:rsidR="00A464A4">
          <w:rPr>
            <w:rStyle w:val="Hyperlink"/>
            <w:rFonts w:asciiTheme="majorHAnsi" w:hAnsiTheme="majorHAnsi" w:cstheme="majorHAnsi"/>
            <w:sz w:val="22"/>
            <w:szCs w:val="22"/>
          </w:rPr>
          <w:t>n</w:t>
        </w:r>
        <w:r w:rsidRPr="0071045B">
          <w:rPr>
            <w:rStyle w:val="Hyperlink"/>
            <w:rFonts w:asciiTheme="majorHAnsi" w:hAnsiTheme="majorHAnsi" w:cstheme="majorHAnsi"/>
            <w:sz w:val="22"/>
            <w:szCs w:val="22"/>
          </w:rPr>
          <w:t>o</w:t>
        </w:r>
        <w:r w:rsidR="00A464A4">
          <w:rPr>
            <w:rStyle w:val="Hyperlink"/>
            <w:rFonts w:asciiTheme="majorHAnsi" w:hAnsiTheme="majorHAnsi" w:cstheme="majorHAnsi"/>
            <w:sz w:val="22"/>
            <w:szCs w:val="22"/>
          </w:rPr>
          <w:t>m</w:t>
        </w:r>
        <w:r w:rsidRPr="0071045B">
          <w:rPr>
            <w:rStyle w:val="Hyperlink"/>
            <w:rFonts w:asciiTheme="majorHAnsi" w:hAnsiTheme="majorHAnsi" w:cstheme="majorHAnsi"/>
            <w:sz w:val="22"/>
            <w:szCs w:val="22"/>
          </w:rPr>
          <w:t>ic marginalization</w:t>
        </w:r>
      </w:hyperlink>
    </w:p>
    <w:p w14:paraId="32C2CC17" w14:textId="77777777" w:rsidR="00BC7E88" w:rsidRPr="0071045B" w:rsidRDefault="00BC7E88" w:rsidP="00BC7E88">
      <w:pPr>
        <w:pBdr>
          <w:top w:val="nil"/>
          <w:left w:val="nil"/>
          <w:bottom w:val="nil"/>
          <w:right w:val="nil"/>
          <w:between w:val="nil"/>
        </w:pBdr>
        <w:rPr>
          <w:rFonts w:asciiTheme="majorHAnsi" w:eastAsia="Calibri" w:hAnsiTheme="majorHAnsi" w:cstheme="majorHAnsi"/>
          <w:b/>
          <w:color w:val="000000"/>
          <w:sz w:val="22"/>
          <w:szCs w:val="22"/>
        </w:rPr>
      </w:pPr>
    </w:p>
    <w:p w14:paraId="2D5DA8F5" w14:textId="548CBBD7" w:rsidR="00BC7E88" w:rsidRPr="0071045B" w:rsidRDefault="00BC7E88" w:rsidP="00BC7E88">
      <w:pPr>
        <w:pBdr>
          <w:top w:val="nil"/>
          <w:left w:val="nil"/>
          <w:bottom w:val="nil"/>
          <w:right w:val="nil"/>
          <w:between w:val="nil"/>
        </w:pBdr>
        <w:rPr>
          <w:rFonts w:asciiTheme="majorHAnsi" w:hAnsiTheme="majorHAnsi" w:cstheme="majorHAnsi"/>
          <w:sz w:val="22"/>
          <w:szCs w:val="22"/>
        </w:rPr>
      </w:pPr>
      <w:r w:rsidRPr="0071045B">
        <w:rPr>
          <w:rFonts w:asciiTheme="majorHAnsi" w:eastAsia="Calibri" w:hAnsiTheme="majorHAnsi" w:cstheme="majorHAnsi"/>
          <w:b/>
          <w:color w:val="000000"/>
          <w:sz w:val="22"/>
          <w:szCs w:val="22"/>
        </w:rPr>
        <w:t>Final Paper</w:t>
      </w:r>
      <w:r w:rsidRPr="0071045B">
        <w:rPr>
          <w:rFonts w:asciiTheme="majorHAnsi" w:hAnsiTheme="majorHAnsi" w:cstheme="majorHAnsi"/>
          <w:sz w:val="22"/>
          <w:szCs w:val="22"/>
        </w:rPr>
        <w:t>– Students will be required to select an assessment instrument</w:t>
      </w:r>
      <w:r w:rsidR="007D165C" w:rsidRPr="0071045B">
        <w:rPr>
          <w:rFonts w:asciiTheme="majorHAnsi" w:hAnsiTheme="majorHAnsi" w:cstheme="majorHAnsi"/>
          <w:sz w:val="22"/>
          <w:szCs w:val="22"/>
        </w:rPr>
        <w:t xml:space="preserve"> or specific treatment </w:t>
      </w:r>
      <w:r w:rsidRPr="0071045B">
        <w:rPr>
          <w:rFonts w:asciiTheme="majorHAnsi" w:hAnsiTheme="majorHAnsi" w:cstheme="majorHAnsi"/>
          <w:sz w:val="22"/>
          <w:szCs w:val="22"/>
        </w:rPr>
        <w:t>and write a 10</w:t>
      </w:r>
      <w:r w:rsidR="00996F79">
        <w:rPr>
          <w:rFonts w:asciiTheme="majorHAnsi" w:hAnsiTheme="majorHAnsi" w:cstheme="majorHAnsi"/>
          <w:sz w:val="22"/>
          <w:szCs w:val="22"/>
        </w:rPr>
        <w:t xml:space="preserve"> to </w:t>
      </w:r>
      <w:r w:rsidRPr="0071045B">
        <w:rPr>
          <w:rFonts w:asciiTheme="majorHAnsi" w:hAnsiTheme="majorHAnsi" w:cstheme="majorHAnsi"/>
          <w:sz w:val="22"/>
          <w:szCs w:val="22"/>
        </w:rPr>
        <w:t>15</w:t>
      </w:r>
      <w:r w:rsidR="00996F79">
        <w:rPr>
          <w:rFonts w:asciiTheme="majorHAnsi" w:hAnsiTheme="majorHAnsi" w:cstheme="majorHAnsi"/>
          <w:sz w:val="22"/>
          <w:szCs w:val="22"/>
        </w:rPr>
        <w:t>-</w:t>
      </w:r>
      <w:r w:rsidRPr="0071045B">
        <w:rPr>
          <w:rFonts w:asciiTheme="majorHAnsi" w:hAnsiTheme="majorHAnsi" w:cstheme="majorHAnsi"/>
          <w:sz w:val="22"/>
          <w:szCs w:val="22"/>
        </w:rPr>
        <w:t>page paper reviewing its use with special populations (including</w:t>
      </w:r>
      <w:r w:rsidR="007D165C" w:rsidRPr="0071045B">
        <w:rPr>
          <w:rFonts w:asciiTheme="majorHAnsi" w:hAnsiTheme="majorHAnsi" w:cstheme="majorHAnsi"/>
          <w:sz w:val="22"/>
          <w:szCs w:val="22"/>
        </w:rPr>
        <w:t xml:space="preserve"> appropriateness as well as</w:t>
      </w:r>
      <w:r w:rsidRPr="0071045B">
        <w:rPr>
          <w:rFonts w:asciiTheme="majorHAnsi" w:hAnsiTheme="majorHAnsi" w:cstheme="majorHAnsi"/>
          <w:sz w:val="22"/>
          <w:szCs w:val="22"/>
        </w:rPr>
        <w:t xml:space="preserve"> an examination of validity or lack thereof).</w:t>
      </w:r>
      <w:r w:rsidR="009E3DE6" w:rsidRPr="0071045B">
        <w:rPr>
          <w:rFonts w:asciiTheme="majorHAnsi" w:hAnsiTheme="majorHAnsi" w:cstheme="majorHAnsi"/>
          <w:sz w:val="22"/>
          <w:szCs w:val="22"/>
        </w:rPr>
        <w:t xml:space="preserve"> This is </w:t>
      </w:r>
      <w:r w:rsidR="00C13DB4">
        <w:rPr>
          <w:rFonts w:asciiTheme="majorHAnsi" w:hAnsiTheme="majorHAnsi" w:cstheme="majorHAnsi"/>
          <w:sz w:val="22"/>
          <w:szCs w:val="22"/>
        </w:rPr>
        <w:t xml:space="preserve">both </w:t>
      </w:r>
      <w:r w:rsidR="009E3DE6" w:rsidRPr="0071045B">
        <w:rPr>
          <w:rFonts w:asciiTheme="majorHAnsi" w:hAnsiTheme="majorHAnsi" w:cstheme="majorHAnsi"/>
          <w:sz w:val="22"/>
          <w:szCs w:val="22"/>
        </w:rPr>
        <w:t xml:space="preserve">a critical thinking assignment, </w:t>
      </w:r>
      <w:r w:rsidR="00C13DB4">
        <w:rPr>
          <w:rFonts w:asciiTheme="majorHAnsi" w:hAnsiTheme="majorHAnsi" w:cstheme="majorHAnsi"/>
          <w:sz w:val="22"/>
          <w:szCs w:val="22"/>
        </w:rPr>
        <w:t>and</w:t>
      </w:r>
      <w:r w:rsidR="009E3DE6" w:rsidRPr="0071045B">
        <w:rPr>
          <w:rFonts w:asciiTheme="majorHAnsi" w:hAnsiTheme="majorHAnsi" w:cstheme="majorHAnsi"/>
          <w:sz w:val="22"/>
          <w:szCs w:val="22"/>
        </w:rPr>
        <w:t xml:space="preserve"> </w:t>
      </w:r>
      <w:r w:rsidR="007D165C" w:rsidRPr="0071045B">
        <w:rPr>
          <w:rFonts w:asciiTheme="majorHAnsi" w:hAnsiTheme="majorHAnsi" w:cstheme="majorHAnsi"/>
          <w:sz w:val="22"/>
          <w:szCs w:val="22"/>
        </w:rPr>
        <w:t xml:space="preserve">a review paper.  </w:t>
      </w:r>
      <w:r w:rsidRPr="0071045B">
        <w:rPr>
          <w:rFonts w:asciiTheme="majorHAnsi" w:hAnsiTheme="majorHAnsi" w:cstheme="majorHAnsi"/>
          <w:sz w:val="22"/>
          <w:szCs w:val="22"/>
        </w:rPr>
        <w:t xml:space="preserve">For example, the TONI-4 is a nonverbal intelligence test that was developed for use with special populations to assess visual reasoning without underlying verbal mediation. However, the research on its validity suggests it </w:t>
      </w:r>
      <w:r w:rsidR="00DA439F">
        <w:rPr>
          <w:rFonts w:asciiTheme="majorHAnsi" w:hAnsiTheme="majorHAnsi" w:cstheme="majorHAnsi"/>
          <w:sz w:val="22"/>
          <w:szCs w:val="22"/>
        </w:rPr>
        <w:t xml:space="preserve">may </w:t>
      </w:r>
      <w:proofErr w:type="gramStart"/>
      <w:r w:rsidRPr="0071045B">
        <w:rPr>
          <w:rFonts w:asciiTheme="majorHAnsi" w:hAnsiTheme="majorHAnsi" w:cstheme="majorHAnsi"/>
          <w:sz w:val="22"/>
          <w:szCs w:val="22"/>
        </w:rPr>
        <w:t>overestimates</w:t>
      </w:r>
      <w:proofErr w:type="gramEnd"/>
      <w:r w:rsidRPr="0071045B">
        <w:rPr>
          <w:rFonts w:asciiTheme="majorHAnsi" w:hAnsiTheme="majorHAnsi" w:cstheme="majorHAnsi"/>
          <w:sz w:val="22"/>
          <w:szCs w:val="22"/>
        </w:rPr>
        <w:t xml:space="preserve"> deaf </w:t>
      </w:r>
      <w:proofErr w:type="spellStart"/>
      <w:r w:rsidRPr="0071045B">
        <w:rPr>
          <w:rFonts w:asciiTheme="majorHAnsi" w:hAnsiTheme="majorHAnsi" w:cstheme="majorHAnsi"/>
          <w:sz w:val="22"/>
          <w:szCs w:val="22"/>
        </w:rPr>
        <w:t>childrens</w:t>
      </w:r>
      <w:proofErr w:type="spellEnd"/>
      <w:r w:rsidRPr="0071045B">
        <w:rPr>
          <w:rFonts w:asciiTheme="majorHAnsi" w:hAnsiTheme="majorHAnsi" w:cstheme="majorHAnsi"/>
          <w:sz w:val="22"/>
          <w:szCs w:val="22"/>
        </w:rPr>
        <w:t>’ nonverbal intelligence.</w:t>
      </w:r>
      <w:r w:rsidR="007D165C" w:rsidRPr="0071045B">
        <w:rPr>
          <w:rFonts w:asciiTheme="majorHAnsi" w:hAnsiTheme="majorHAnsi" w:cstheme="majorHAnsi"/>
          <w:sz w:val="22"/>
          <w:szCs w:val="22"/>
        </w:rPr>
        <w:t xml:space="preserve"> </w:t>
      </w:r>
      <w:r w:rsidR="00C13DB4">
        <w:rPr>
          <w:rFonts w:asciiTheme="majorHAnsi" w:hAnsiTheme="majorHAnsi" w:cstheme="majorHAnsi"/>
          <w:sz w:val="22"/>
          <w:szCs w:val="22"/>
        </w:rPr>
        <w:t>A review of the literature involving the use of the instrument with a specific “special population” should therefore include a discussion of the i</w:t>
      </w:r>
      <w:r w:rsidR="007D165C" w:rsidRPr="0071045B">
        <w:rPr>
          <w:rFonts w:asciiTheme="majorHAnsi" w:hAnsiTheme="majorHAnsi" w:cstheme="majorHAnsi"/>
          <w:sz w:val="22"/>
          <w:szCs w:val="22"/>
        </w:rPr>
        <w:t xml:space="preserve">mplications </w:t>
      </w:r>
      <w:r w:rsidR="00C13DB4">
        <w:rPr>
          <w:rFonts w:asciiTheme="majorHAnsi" w:hAnsiTheme="majorHAnsi" w:cstheme="majorHAnsi"/>
          <w:sz w:val="22"/>
          <w:szCs w:val="22"/>
        </w:rPr>
        <w:t xml:space="preserve">and contraindications </w:t>
      </w:r>
      <w:r w:rsidR="007D165C" w:rsidRPr="0071045B">
        <w:rPr>
          <w:rFonts w:asciiTheme="majorHAnsi" w:hAnsiTheme="majorHAnsi" w:cstheme="majorHAnsi"/>
          <w:sz w:val="22"/>
          <w:szCs w:val="22"/>
        </w:rPr>
        <w:t>for instrument use.</w:t>
      </w:r>
      <w:r w:rsidRPr="0071045B">
        <w:rPr>
          <w:rFonts w:asciiTheme="majorHAnsi" w:hAnsiTheme="majorHAnsi" w:cstheme="majorHAnsi"/>
          <w:sz w:val="22"/>
          <w:szCs w:val="22"/>
        </w:rPr>
        <w:t xml:space="preserve"> Please include no fewer than 10 references.  (</w:t>
      </w:r>
      <w:r w:rsidRPr="0071045B">
        <w:rPr>
          <w:rFonts w:asciiTheme="majorHAnsi" w:hAnsiTheme="majorHAnsi" w:cstheme="majorHAnsi"/>
          <w:b/>
          <w:sz w:val="22"/>
          <w:szCs w:val="22"/>
        </w:rPr>
        <w:t>50 points total</w:t>
      </w:r>
      <w:r w:rsidRPr="0071045B">
        <w:rPr>
          <w:rFonts w:asciiTheme="majorHAnsi" w:hAnsiTheme="majorHAnsi" w:cstheme="majorHAnsi"/>
          <w:sz w:val="22"/>
          <w:szCs w:val="22"/>
        </w:rPr>
        <w:t>).</w:t>
      </w:r>
    </w:p>
    <w:p w14:paraId="642E8A9B" w14:textId="01BF0579" w:rsidR="00CE1BB3" w:rsidRPr="0071045B" w:rsidRDefault="00CE1BB3">
      <w:pPr>
        <w:pBdr>
          <w:top w:val="nil"/>
          <w:left w:val="nil"/>
          <w:bottom w:val="nil"/>
          <w:right w:val="nil"/>
          <w:between w:val="nil"/>
        </w:pBdr>
        <w:rPr>
          <w:rFonts w:asciiTheme="majorHAnsi" w:eastAsia="Calibri" w:hAnsiTheme="majorHAnsi" w:cstheme="majorHAnsi"/>
          <w:b/>
          <w:color w:val="000000"/>
          <w:sz w:val="22"/>
          <w:szCs w:val="22"/>
          <w:highlight w:val="yellow"/>
        </w:rPr>
      </w:pPr>
    </w:p>
    <w:p w14:paraId="18419FEB" w14:textId="28A0AD40" w:rsidR="0071045B" w:rsidRPr="0071045B" w:rsidRDefault="0071045B">
      <w:pPr>
        <w:pBdr>
          <w:top w:val="nil"/>
          <w:left w:val="nil"/>
          <w:bottom w:val="nil"/>
          <w:right w:val="nil"/>
          <w:between w:val="nil"/>
        </w:pBdr>
        <w:rPr>
          <w:rFonts w:asciiTheme="majorHAnsi" w:eastAsia="Calibri" w:hAnsiTheme="majorHAnsi" w:cstheme="majorHAnsi"/>
          <w:b/>
          <w:color w:val="000000"/>
          <w:sz w:val="22"/>
          <w:szCs w:val="22"/>
          <w:highlight w:val="yellow"/>
        </w:rPr>
      </w:pPr>
    </w:p>
    <w:p w14:paraId="5C6DBFB7" w14:textId="4CD71328" w:rsidR="00FD19E5" w:rsidRPr="0071045B" w:rsidRDefault="000022E4" w:rsidP="00C13FAA">
      <w:pPr>
        <w:pBdr>
          <w:top w:val="nil"/>
          <w:left w:val="nil"/>
          <w:bottom w:val="nil"/>
          <w:right w:val="nil"/>
          <w:between w:val="nil"/>
        </w:pBdr>
        <w:rPr>
          <w:rFonts w:asciiTheme="majorHAnsi" w:eastAsia="Calibri" w:hAnsiTheme="majorHAnsi" w:cstheme="majorHAnsi"/>
          <w:b/>
          <w:color w:val="000000"/>
          <w:sz w:val="22"/>
          <w:szCs w:val="22"/>
        </w:rPr>
      </w:pPr>
      <w:r w:rsidRPr="0071045B">
        <w:rPr>
          <w:rFonts w:asciiTheme="majorHAnsi" w:eastAsia="Calibri" w:hAnsiTheme="majorHAnsi" w:cstheme="majorHAnsi"/>
          <w:b/>
          <w:color w:val="000000"/>
          <w:sz w:val="22"/>
          <w:szCs w:val="22"/>
        </w:rPr>
        <w:t>Grading</w:t>
      </w:r>
    </w:p>
    <w:tbl>
      <w:tblPr>
        <w:tblW w:w="8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1"/>
        <w:gridCol w:w="2240"/>
      </w:tblGrid>
      <w:tr w:rsidR="00FD19E5" w:rsidRPr="0071045B" w14:paraId="02F3F225" w14:textId="77777777" w:rsidTr="0089321C">
        <w:trPr>
          <w:trHeight w:val="315"/>
          <w:jc w:val="center"/>
        </w:trPr>
        <w:tc>
          <w:tcPr>
            <w:tcW w:w="5961" w:type="dxa"/>
            <w:tcBorders>
              <w:bottom w:val="thickThinSmallGap" w:sz="24" w:space="0" w:color="auto"/>
            </w:tcBorders>
            <w:shd w:val="clear" w:color="auto" w:fill="auto"/>
            <w:noWrap/>
            <w:vAlign w:val="center"/>
          </w:tcPr>
          <w:p w14:paraId="7960C21E" w14:textId="77777777" w:rsidR="00FD19E5" w:rsidRPr="0071045B" w:rsidRDefault="00FD19E5" w:rsidP="0089321C">
            <w:pPr>
              <w:jc w:val="center"/>
              <w:rPr>
                <w:rFonts w:asciiTheme="majorHAnsi" w:hAnsiTheme="majorHAnsi" w:cstheme="majorHAnsi"/>
                <w:b/>
                <w:bCs/>
                <w:sz w:val="22"/>
                <w:szCs w:val="22"/>
              </w:rPr>
            </w:pPr>
            <w:bookmarkStart w:id="5" w:name="_kxcnphdmd0vo" w:colFirst="0" w:colLast="0"/>
            <w:bookmarkEnd w:id="5"/>
            <w:r w:rsidRPr="0071045B">
              <w:rPr>
                <w:rFonts w:asciiTheme="majorHAnsi" w:hAnsiTheme="majorHAnsi" w:cstheme="majorHAnsi"/>
                <w:b/>
                <w:bCs/>
                <w:sz w:val="22"/>
                <w:szCs w:val="22"/>
              </w:rPr>
              <w:t>Project/Assignment/points</w:t>
            </w:r>
          </w:p>
        </w:tc>
        <w:tc>
          <w:tcPr>
            <w:tcW w:w="2240" w:type="dxa"/>
            <w:tcBorders>
              <w:bottom w:val="thickThinSmallGap" w:sz="24" w:space="0" w:color="auto"/>
            </w:tcBorders>
            <w:shd w:val="clear" w:color="auto" w:fill="auto"/>
            <w:noWrap/>
            <w:vAlign w:val="bottom"/>
          </w:tcPr>
          <w:p w14:paraId="1003F5A8" w14:textId="77777777" w:rsidR="00FD19E5" w:rsidRPr="0071045B" w:rsidRDefault="00FD19E5" w:rsidP="0089321C">
            <w:pPr>
              <w:jc w:val="center"/>
              <w:rPr>
                <w:rFonts w:asciiTheme="majorHAnsi" w:hAnsiTheme="majorHAnsi" w:cstheme="majorHAnsi"/>
                <w:i/>
                <w:sz w:val="22"/>
                <w:szCs w:val="22"/>
              </w:rPr>
            </w:pPr>
            <w:r w:rsidRPr="0071045B">
              <w:rPr>
                <w:rFonts w:asciiTheme="majorHAnsi" w:hAnsiTheme="majorHAnsi" w:cstheme="majorHAnsi"/>
                <w:i/>
                <w:sz w:val="22"/>
                <w:szCs w:val="22"/>
              </w:rPr>
              <w:t xml:space="preserve">% of Grade </w:t>
            </w:r>
          </w:p>
        </w:tc>
      </w:tr>
      <w:tr w:rsidR="00FD19E5" w:rsidRPr="0071045B" w14:paraId="3F71D728" w14:textId="77777777" w:rsidTr="0089321C">
        <w:trPr>
          <w:trHeight w:val="315"/>
          <w:jc w:val="center"/>
        </w:trPr>
        <w:tc>
          <w:tcPr>
            <w:tcW w:w="5961" w:type="dxa"/>
            <w:tcBorders>
              <w:top w:val="thickThinSmallGap" w:sz="24" w:space="0" w:color="auto"/>
              <w:bottom w:val="thickThinSmallGap" w:sz="24" w:space="0" w:color="auto"/>
            </w:tcBorders>
            <w:shd w:val="clear" w:color="auto" w:fill="auto"/>
            <w:noWrap/>
            <w:vAlign w:val="bottom"/>
          </w:tcPr>
          <w:p w14:paraId="639D2D30" w14:textId="0775765C" w:rsidR="00FD19E5" w:rsidRPr="0071045B" w:rsidRDefault="00FD19E5" w:rsidP="0089321C">
            <w:pPr>
              <w:rPr>
                <w:rFonts w:asciiTheme="majorHAnsi" w:hAnsiTheme="majorHAnsi" w:cstheme="majorHAnsi"/>
                <w:b/>
                <w:bCs/>
                <w:sz w:val="22"/>
                <w:szCs w:val="22"/>
              </w:rPr>
            </w:pPr>
            <w:r w:rsidRPr="0071045B">
              <w:rPr>
                <w:rFonts w:asciiTheme="majorHAnsi" w:hAnsiTheme="majorHAnsi" w:cstheme="majorHAnsi"/>
                <w:b/>
                <w:bCs/>
                <w:sz w:val="22"/>
                <w:szCs w:val="22"/>
              </w:rPr>
              <w:t>Attendance</w:t>
            </w:r>
            <w:r w:rsidR="00C13FAA" w:rsidRPr="0071045B">
              <w:rPr>
                <w:rFonts w:asciiTheme="majorHAnsi" w:hAnsiTheme="majorHAnsi" w:cstheme="majorHAnsi"/>
                <w:b/>
                <w:bCs/>
                <w:sz w:val="22"/>
                <w:szCs w:val="22"/>
              </w:rPr>
              <w:t xml:space="preserve">  </w:t>
            </w:r>
            <w:r w:rsidRPr="0071045B">
              <w:rPr>
                <w:rFonts w:asciiTheme="majorHAnsi" w:hAnsiTheme="majorHAnsi" w:cstheme="majorHAnsi"/>
                <w:b/>
                <w:bCs/>
                <w:sz w:val="22"/>
                <w:szCs w:val="22"/>
              </w:rPr>
              <w:t>&amp;Participation/10</w:t>
            </w:r>
          </w:p>
        </w:tc>
        <w:tc>
          <w:tcPr>
            <w:tcW w:w="2240" w:type="dxa"/>
            <w:tcBorders>
              <w:top w:val="thickThinSmallGap" w:sz="24" w:space="0" w:color="auto"/>
              <w:bottom w:val="thickThinSmallGap" w:sz="24" w:space="0" w:color="auto"/>
            </w:tcBorders>
            <w:shd w:val="clear" w:color="auto" w:fill="auto"/>
            <w:noWrap/>
            <w:vAlign w:val="center"/>
          </w:tcPr>
          <w:p w14:paraId="1FDB69AD" w14:textId="4B953692" w:rsidR="00FD19E5" w:rsidRPr="0071045B" w:rsidRDefault="00FD19E5" w:rsidP="0089321C">
            <w:pPr>
              <w:jc w:val="center"/>
              <w:rPr>
                <w:rFonts w:asciiTheme="majorHAnsi" w:hAnsiTheme="majorHAnsi" w:cstheme="majorHAnsi"/>
                <w:sz w:val="22"/>
                <w:szCs w:val="22"/>
              </w:rPr>
            </w:pPr>
            <w:r w:rsidRPr="0071045B">
              <w:rPr>
                <w:rFonts w:asciiTheme="majorHAnsi" w:hAnsiTheme="majorHAnsi" w:cstheme="majorHAnsi"/>
                <w:sz w:val="22"/>
                <w:szCs w:val="22"/>
              </w:rPr>
              <w:t>10%</w:t>
            </w:r>
          </w:p>
        </w:tc>
      </w:tr>
      <w:tr w:rsidR="00FD19E5" w:rsidRPr="0071045B" w14:paraId="0DEA7E7C" w14:textId="77777777" w:rsidTr="0089321C">
        <w:trPr>
          <w:trHeight w:val="315"/>
          <w:jc w:val="center"/>
        </w:trPr>
        <w:tc>
          <w:tcPr>
            <w:tcW w:w="5961" w:type="dxa"/>
            <w:tcBorders>
              <w:top w:val="thickThinSmallGap" w:sz="24" w:space="0" w:color="auto"/>
            </w:tcBorders>
            <w:shd w:val="clear" w:color="auto" w:fill="auto"/>
            <w:noWrap/>
            <w:vAlign w:val="bottom"/>
          </w:tcPr>
          <w:p w14:paraId="0D57F40C" w14:textId="24CB88BB" w:rsidR="00FD19E5" w:rsidRPr="0071045B" w:rsidRDefault="00FD19E5" w:rsidP="0089321C">
            <w:pPr>
              <w:rPr>
                <w:rFonts w:asciiTheme="majorHAnsi" w:hAnsiTheme="majorHAnsi" w:cstheme="majorHAnsi"/>
                <w:b/>
                <w:bCs/>
                <w:sz w:val="22"/>
                <w:szCs w:val="22"/>
              </w:rPr>
            </w:pPr>
            <w:r w:rsidRPr="0071045B">
              <w:rPr>
                <w:rFonts w:asciiTheme="majorHAnsi" w:hAnsiTheme="majorHAnsi" w:cstheme="majorHAnsi"/>
                <w:b/>
                <w:bCs/>
                <w:sz w:val="22"/>
                <w:szCs w:val="22"/>
              </w:rPr>
              <w:t>Problem-Based Learning/</w:t>
            </w:r>
            <w:r w:rsidR="00C13FAA" w:rsidRPr="0071045B">
              <w:rPr>
                <w:rFonts w:asciiTheme="majorHAnsi" w:hAnsiTheme="majorHAnsi" w:cstheme="majorHAnsi"/>
                <w:b/>
                <w:bCs/>
                <w:sz w:val="22"/>
                <w:szCs w:val="22"/>
              </w:rPr>
              <w:t>2</w:t>
            </w:r>
            <w:r w:rsidRPr="0071045B">
              <w:rPr>
                <w:rFonts w:asciiTheme="majorHAnsi" w:hAnsiTheme="majorHAnsi" w:cstheme="majorHAnsi"/>
                <w:b/>
                <w:bCs/>
                <w:sz w:val="22"/>
                <w:szCs w:val="22"/>
              </w:rPr>
              <w:t>0</w:t>
            </w:r>
          </w:p>
        </w:tc>
        <w:tc>
          <w:tcPr>
            <w:tcW w:w="2240" w:type="dxa"/>
            <w:tcBorders>
              <w:top w:val="thickThinSmallGap" w:sz="24" w:space="0" w:color="auto"/>
            </w:tcBorders>
            <w:shd w:val="clear" w:color="auto" w:fill="auto"/>
            <w:noWrap/>
            <w:vAlign w:val="center"/>
          </w:tcPr>
          <w:p w14:paraId="023A3406" w14:textId="1D7B293E" w:rsidR="00FD19E5" w:rsidRPr="0071045B" w:rsidRDefault="00C13FAA" w:rsidP="0089321C">
            <w:pPr>
              <w:jc w:val="center"/>
              <w:rPr>
                <w:rFonts w:asciiTheme="majorHAnsi" w:hAnsiTheme="majorHAnsi" w:cstheme="majorHAnsi"/>
                <w:sz w:val="22"/>
                <w:szCs w:val="22"/>
              </w:rPr>
            </w:pPr>
            <w:r w:rsidRPr="0071045B">
              <w:rPr>
                <w:rFonts w:asciiTheme="majorHAnsi" w:hAnsiTheme="majorHAnsi" w:cstheme="majorHAnsi"/>
                <w:sz w:val="22"/>
                <w:szCs w:val="22"/>
              </w:rPr>
              <w:t>20</w:t>
            </w:r>
            <w:r w:rsidR="00FD19E5" w:rsidRPr="0071045B">
              <w:rPr>
                <w:rFonts w:asciiTheme="majorHAnsi" w:hAnsiTheme="majorHAnsi" w:cstheme="majorHAnsi"/>
                <w:sz w:val="22"/>
                <w:szCs w:val="22"/>
              </w:rPr>
              <w:t>%</w:t>
            </w:r>
          </w:p>
        </w:tc>
      </w:tr>
      <w:tr w:rsidR="00FD19E5" w:rsidRPr="0071045B" w14:paraId="671EDA7B" w14:textId="77777777" w:rsidTr="0089321C">
        <w:trPr>
          <w:trHeight w:val="315"/>
          <w:jc w:val="center"/>
        </w:trPr>
        <w:tc>
          <w:tcPr>
            <w:tcW w:w="5961" w:type="dxa"/>
            <w:tcBorders>
              <w:top w:val="thickThinSmallGap" w:sz="24" w:space="0" w:color="auto"/>
            </w:tcBorders>
            <w:shd w:val="clear" w:color="auto" w:fill="auto"/>
            <w:noWrap/>
            <w:vAlign w:val="bottom"/>
          </w:tcPr>
          <w:p w14:paraId="78030648" w14:textId="6D7845A4" w:rsidR="00FD19E5" w:rsidRPr="0071045B" w:rsidRDefault="00C13FAA" w:rsidP="0089321C">
            <w:pPr>
              <w:rPr>
                <w:rFonts w:asciiTheme="majorHAnsi" w:hAnsiTheme="majorHAnsi" w:cstheme="majorHAnsi"/>
                <w:b/>
                <w:bCs/>
                <w:sz w:val="22"/>
                <w:szCs w:val="22"/>
              </w:rPr>
            </w:pPr>
            <w:r w:rsidRPr="0071045B">
              <w:rPr>
                <w:rFonts w:asciiTheme="majorHAnsi" w:hAnsiTheme="majorHAnsi" w:cstheme="majorHAnsi"/>
                <w:b/>
                <w:bCs/>
                <w:sz w:val="22"/>
                <w:szCs w:val="22"/>
              </w:rPr>
              <w:t>Teach-In</w:t>
            </w:r>
            <w:r w:rsidR="00FD19E5" w:rsidRPr="0071045B">
              <w:rPr>
                <w:rFonts w:asciiTheme="majorHAnsi" w:hAnsiTheme="majorHAnsi" w:cstheme="majorHAnsi"/>
                <w:b/>
                <w:bCs/>
                <w:sz w:val="22"/>
                <w:szCs w:val="22"/>
              </w:rPr>
              <w:t>/</w:t>
            </w:r>
            <w:r w:rsidRPr="0071045B">
              <w:rPr>
                <w:rFonts w:asciiTheme="majorHAnsi" w:hAnsiTheme="majorHAnsi" w:cstheme="majorHAnsi"/>
                <w:b/>
                <w:bCs/>
                <w:sz w:val="22"/>
                <w:szCs w:val="22"/>
              </w:rPr>
              <w:t>2</w:t>
            </w:r>
            <w:r w:rsidR="00FD19E5" w:rsidRPr="0071045B">
              <w:rPr>
                <w:rFonts w:asciiTheme="majorHAnsi" w:hAnsiTheme="majorHAnsi" w:cstheme="majorHAnsi"/>
                <w:b/>
                <w:bCs/>
                <w:sz w:val="22"/>
                <w:szCs w:val="22"/>
              </w:rPr>
              <w:t>0</w:t>
            </w:r>
          </w:p>
        </w:tc>
        <w:tc>
          <w:tcPr>
            <w:tcW w:w="2240" w:type="dxa"/>
            <w:tcBorders>
              <w:top w:val="thickThinSmallGap" w:sz="24" w:space="0" w:color="auto"/>
            </w:tcBorders>
            <w:shd w:val="clear" w:color="auto" w:fill="auto"/>
            <w:noWrap/>
            <w:vAlign w:val="center"/>
          </w:tcPr>
          <w:p w14:paraId="2714E195" w14:textId="110693A1" w:rsidR="00FD19E5" w:rsidRPr="0071045B" w:rsidRDefault="00C13FAA" w:rsidP="0089321C">
            <w:pPr>
              <w:jc w:val="center"/>
              <w:rPr>
                <w:rFonts w:asciiTheme="majorHAnsi" w:hAnsiTheme="majorHAnsi" w:cstheme="majorHAnsi"/>
                <w:sz w:val="22"/>
                <w:szCs w:val="22"/>
              </w:rPr>
            </w:pPr>
            <w:r w:rsidRPr="0071045B">
              <w:rPr>
                <w:rFonts w:asciiTheme="majorHAnsi" w:hAnsiTheme="majorHAnsi" w:cstheme="majorHAnsi"/>
                <w:sz w:val="22"/>
                <w:szCs w:val="22"/>
              </w:rPr>
              <w:t>20</w:t>
            </w:r>
            <w:r w:rsidR="00FD19E5" w:rsidRPr="0071045B">
              <w:rPr>
                <w:rFonts w:asciiTheme="majorHAnsi" w:hAnsiTheme="majorHAnsi" w:cstheme="majorHAnsi"/>
                <w:sz w:val="22"/>
                <w:szCs w:val="22"/>
              </w:rPr>
              <w:t>%</w:t>
            </w:r>
          </w:p>
        </w:tc>
      </w:tr>
      <w:tr w:rsidR="00FD19E5" w:rsidRPr="0071045B" w14:paraId="762CA5D5" w14:textId="77777777" w:rsidTr="0089321C">
        <w:trPr>
          <w:trHeight w:val="315"/>
          <w:jc w:val="center"/>
        </w:trPr>
        <w:tc>
          <w:tcPr>
            <w:tcW w:w="5961" w:type="dxa"/>
            <w:tcBorders>
              <w:top w:val="thickThinSmallGap" w:sz="24" w:space="0" w:color="auto"/>
            </w:tcBorders>
            <w:shd w:val="clear" w:color="auto" w:fill="auto"/>
            <w:noWrap/>
            <w:vAlign w:val="bottom"/>
          </w:tcPr>
          <w:p w14:paraId="25B09A38" w14:textId="780D6325" w:rsidR="00FD19E5" w:rsidRPr="0071045B" w:rsidRDefault="00C13FAA" w:rsidP="0089321C">
            <w:pPr>
              <w:rPr>
                <w:rFonts w:asciiTheme="majorHAnsi" w:hAnsiTheme="majorHAnsi" w:cstheme="majorHAnsi"/>
                <w:b/>
                <w:bCs/>
                <w:sz w:val="22"/>
                <w:szCs w:val="22"/>
              </w:rPr>
            </w:pPr>
            <w:r w:rsidRPr="0071045B">
              <w:rPr>
                <w:rFonts w:asciiTheme="majorHAnsi" w:hAnsiTheme="majorHAnsi" w:cstheme="majorHAnsi"/>
                <w:b/>
                <w:bCs/>
                <w:sz w:val="22"/>
                <w:szCs w:val="22"/>
              </w:rPr>
              <w:t>Final Paper</w:t>
            </w:r>
          </w:p>
        </w:tc>
        <w:tc>
          <w:tcPr>
            <w:tcW w:w="2240" w:type="dxa"/>
            <w:tcBorders>
              <w:top w:val="thickThinSmallGap" w:sz="24" w:space="0" w:color="auto"/>
            </w:tcBorders>
            <w:shd w:val="clear" w:color="auto" w:fill="auto"/>
            <w:noWrap/>
            <w:vAlign w:val="center"/>
          </w:tcPr>
          <w:p w14:paraId="031921A7" w14:textId="65A7C1CD" w:rsidR="00FD19E5" w:rsidRPr="0071045B" w:rsidRDefault="00C13FAA" w:rsidP="0089321C">
            <w:pPr>
              <w:jc w:val="center"/>
              <w:rPr>
                <w:rFonts w:asciiTheme="majorHAnsi" w:hAnsiTheme="majorHAnsi" w:cstheme="majorHAnsi"/>
                <w:sz w:val="22"/>
                <w:szCs w:val="22"/>
              </w:rPr>
            </w:pPr>
            <w:r w:rsidRPr="0071045B">
              <w:rPr>
                <w:rFonts w:asciiTheme="majorHAnsi" w:hAnsiTheme="majorHAnsi" w:cstheme="majorHAnsi"/>
                <w:sz w:val="22"/>
                <w:szCs w:val="22"/>
              </w:rPr>
              <w:t>50</w:t>
            </w:r>
            <w:r w:rsidR="00FD19E5" w:rsidRPr="0071045B">
              <w:rPr>
                <w:rFonts w:asciiTheme="majorHAnsi" w:hAnsiTheme="majorHAnsi" w:cstheme="majorHAnsi"/>
                <w:sz w:val="22"/>
                <w:szCs w:val="22"/>
              </w:rPr>
              <w:t>%</w:t>
            </w:r>
          </w:p>
        </w:tc>
      </w:tr>
      <w:tr w:rsidR="00FD19E5" w:rsidRPr="0071045B" w14:paraId="25066E05" w14:textId="77777777" w:rsidTr="0089321C">
        <w:trPr>
          <w:trHeight w:val="315"/>
          <w:jc w:val="center"/>
        </w:trPr>
        <w:tc>
          <w:tcPr>
            <w:tcW w:w="5961" w:type="dxa"/>
            <w:tcBorders>
              <w:top w:val="thickThinSmallGap" w:sz="24" w:space="0" w:color="auto"/>
            </w:tcBorders>
            <w:shd w:val="clear" w:color="auto" w:fill="auto"/>
            <w:noWrap/>
            <w:vAlign w:val="bottom"/>
          </w:tcPr>
          <w:p w14:paraId="347229D4" w14:textId="24046425" w:rsidR="00FD19E5" w:rsidRPr="0071045B" w:rsidRDefault="00FD19E5" w:rsidP="0089321C">
            <w:pPr>
              <w:rPr>
                <w:rFonts w:asciiTheme="majorHAnsi" w:hAnsiTheme="majorHAnsi" w:cstheme="majorHAnsi"/>
                <w:b/>
                <w:bCs/>
                <w:sz w:val="22"/>
                <w:szCs w:val="22"/>
              </w:rPr>
            </w:pPr>
            <w:r w:rsidRPr="0071045B">
              <w:rPr>
                <w:rFonts w:asciiTheme="majorHAnsi" w:hAnsiTheme="majorHAnsi" w:cstheme="majorHAnsi"/>
                <w:b/>
                <w:bCs/>
                <w:sz w:val="22"/>
                <w:szCs w:val="22"/>
              </w:rPr>
              <w:t>Total/</w:t>
            </w:r>
            <w:r w:rsidR="00C13FAA" w:rsidRPr="0071045B">
              <w:rPr>
                <w:rFonts w:asciiTheme="majorHAnsi" w:hAnsiTheme="majorHAnsi" w:cstheme="majorHAnsi"/>
                <w:b/>
                <w:bCs/>
                <w:sz w:val="22"/>
                <w:szCs w:val="22"/>
              </w:rPr>
              <w:t>10</w:t>
            </w:r>
            <w:r w:rsidRPr="0071045B">
              <w:rPr>
                <w:rFonts w:asciiTheme="majorHAnsi" w:hAnsiTheme="majorHAnsi" w:cstheme="majorHAnsi"/>
                <w:b/>
                <w:bCs/>
                <w:sz w:val="22"/>
                <w:szCs w:val="22"/>
              </w:rPr>
              <w:t>0</w:t>
            </w:r>
          </w:p>
        </w:tc>
        <w:tc>
          <w:tcPr>
            <w:tcW w:w="2240" w:type="dxa"/>
            <w:tcBorders>
              <w:top w:val="thickThinSmallGap" w:sz="24" w:space="0" w:color="auto"/>
            </w:tcBorders>
            <w:shd w:val="clear" w:color="auto" w:fill="auto"/>
            <w:noWrap/>
            <w:vAlign w:val="center"/>
          </w:tcPr>
          <w:p w14:paraId="1ABB7865" w14:textId="77777777" w:rsidR="00FD19E5" w:rsidRPr="0071045B" w:rsidRDefault="00FD19E5" w:rsidP="0089321C">
            <w:pPr>
              <w:jc w:val="center"/>
              <w:rPr>
                <w:rFonts w:asciiTheme="majorHAnsi" w:hAnsiTheme="majorHAnsi" w:cstheme="majorHAnsi"/>
                <w:sz w:val="22"/>
                <w:szCs w:val="22"/>
              </w:rPr>
            </w:pPr>
            <w:r w:rsidRPr="0071045B">
              <w:rPr>
                <w:rFonts w:asciiTheme="majorHAnsi" w:hAnsiTheme="majorHAnsi" w:cstheme="majorHAnsi"/>
                <w:sz w:val="22"/>
                <w:szCs w:val="22"/>
              </w:rPr>
              <w:t>100%</w:t>
            </w:r>
          </w:p>
        </w:tc>
      </w:tr>
    </w:tbl>
    <w:p w14:paraId="234BEF46" w14:textId="77777777" w:rsidR="00FD5520" w:rsidRPr="0071045B" w:rsidRDefault="00FD5520">
      <w:pPr>
        <w:widowControl w:val="0"/>
        <w:spacing w:before="9"/>
        <w:ind w:left="720"/>
        <w:rPr>
          <w:rFonts w:asciiTheme="majorHAnsi" w:eastAsia="Calibri" w:hAnsiTheme="majorHAnsi" w:cstheme="majorHAnsi"/>
          <w:i/>
          <w:sz w:val="22"/>
          <w:szCs w:val="22"/>
        </w:rPr>
      </w:pPr>
    </w:p>
    <w:p w14:paraId="13A77AEB" w14:textId="77777777" w:rsidR="00FD5520" w:rsidRPr="0071045B" w:rsidRDefault="000022E4">
      <w:pPr>
        <w:pBdr>
          <w:top w:val="nil"/>
          <w:left w:val="nil"/>
          <w:bottom w:val="nil"/>
          <w:right w:val="nil"/>
          <w:between w:val="nil"/>
        </w:pBdr>
        <w:ind w:left="720"/>
        <w:rPr>
          <w:rFonts w:asciiTheme="majorHAnsi" w:eastAsia="Calibri" w:hAnsiTheme="majorHAnsi" w:cstheme="majorHAnsi"/>
          <w:color w:val="000000"/>
          <w:sz w:val="22"/>
          <w:szCs w:val="22"/>
        </w:rPr>
      </w:pPr>
      <w:r w:rsidRPr="0071045B">
        <w:rPr>
          <w:rFonts w:asciiTheme="majorHAnsi" w:eastAsia="Calibri" w:hAnsiTheme="majorHAnsi" w:cstheme="majorHAnsi"/>
          <w:b/>
          <w:color w:val="000000"/>
          <w:sz w:val="22"/>
          <w:szCs w:val="22"/>
        </w:rPr>
        <w:t xml:space="preserve">Grading Scale </w:t>
      </w:r>
    </w:p>
    <w:p w14:paraId="1B23417F" w14:textId="77777777" w:rsidR="00FD5520" w:rsidRPr="0071045B" w:rsidRDefault="000022E4">
      <w:pPr>
        <w:pBdr>
          <w:top w:val="nil"/>
          <w:left w:val="nil"/>
          <w:bottom w:val="nil"/>
          <w:right w:val="nil"/>
          <w:between w:val="nil"/>
        </w:pBdr>
        <w:ind w:left="72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Grade point equivalents (and grading scale values) are presented below. Final scores &gt; .5 will be rounded up.</w:t>
      </w:r>
      <w:r w:rsidRPr="0071045B">
        <w:rPr>
          <w:rFonts w:asciiTheme="majorHAnsi" w:eastAsia="Calibri" w:hAnsiTheme="majorHAnsi" w:cstheme="majorHAnsi"/>
          <w:color w:val="000000"/>
          <w:sz w:val="22"/>
          <w:szCs w:val="22"/>
        </w:rPr>
        <w:tab/>
      </w:r>
    </w:p>
    <w:p w14:paraId="32945A7D" w14:textId="77777777" w:rsidR="00FD5520" w:rsidRPr="0071045B" w:rsidRDefault="000022E4">
      <w:pPr>
        <w:pBdr>
          <w:top w:val="nil"/>
          <w:left w:val="nil"/>
          <w:bottom w:val="nil"/>
          <w:right w:val="nil"/>
          <w:between w:val="nil"/>
        </w:pBdr>
        <w:ind w:left="144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A = 4.00 (93-100)</w:t>
      </w:r>
      <w:r w:rsidRPr="0071045B">
        <w:rPr>
          <w:rFonts w:asciiTheme="majorHAnsi" w:eastAsia="Calibri" w:hAnsiTheme="majorHAnsi" w:cstheme="majorHAnsi"/>
          <w:color w:val="000000"/>
          <w:sz w:val="22"/>
          <w:szCs w:val="22"/>
        </w:rPr>
        <w:tab/>
        <w:t>A- = 3.67 (90-92)</w:t>
      </w:r>
      <w:r w:rsidRPr="0071045B">
        <w:rPr>
          <w:rFonts w:asciiTheme="majorHAnsi" w:eastAsia="Calibri" w:hAnsiTheme="majorHAnsi" w:cstheme="majorHAnsi"/>
          <w:color w:val="000000"/>
          <w:sz w:val="22"/>
          <w:szCs w:val="22"/>
        </w:rPr>
        <w:tab/>
      </w:r>
    </w:p>
    <w:p w14:paraId="00602D7A" w14:textId="77777777" w:rsidR="00FD5520" w:rsidRPr="0071045B" w:rsidRDefault="000022E4">
      <w:pPr>
        <w:pBdr>
          <w:top w:val="nil"/>
          <w:left w:val="nil"/>
          <w:bottom w:val="nil"/>
          <w:right w:val="nil"/>
          <w:between w:val="nil"/>
        </w:pBdr>
        <w:ind w:left="720" w:firstLine="72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B+ = 3.33 (88-89)</w:t>
      </w:r>
      <w:r w:rsidRPr="0071045B">
        <w:rPr>
          <w:rFonts w:asciiTheme="majorHAnsi" w:eastAsia="Calibri" w:hAnsiTheme="majorHAnsi" w:cstheme="majorHAnsi"/>
          <w:color w:val="000000"/>
          <w:sz w:val="22"/>
          <w:szCs w:val="22"/>
        </w:rPr>
        <w:tab/>
        <w:t>B = 3.00 (83-87)</w:t>
      </w:r>
      <w:r w:rsidRPr="0071045B">
        <w:rPr>
          <w:rFonts w:asciiTheme="majorHAnsi" w:eastAsia="Calibri" w:hAnsiTheme="majorHAnsi" w:cstheme="majorHAnsi"/>
          <w:color w:val="000000"/>
          <w:sz w:val="22"/>
          <w:szCs w:val="22"/>
        </w:rPr>
        <w:tab/>
      </w:r>
      <w:r w:rsidRPr="0071045B">
        <w:rPr>
          <w:rFonts w:asciiTheme="majorHAnsi" w:eastAsia="Calibri" w:hAnsiTheme="majorHAnsi" w:cstheme="majorHAnsi"/>
          <w:color w:val="000000"/>
          <w:sz w:val="22"/>
          <w:szCs w:val="22"/>
        </w:rPr>
        <w:tab/>
        <w:t>B- = 2.67 (80-82)</w:t>
      </w:r>
      <w:r w:rsidRPr="0071045B">
        <w:rPr>
          <w:rFonts w:asciiTheme="majorHAnsi" w:eastAsia="Calibri" w:hAnsiTheme="majorHAnsi" w:cstheme="majorHAnsi"/>
          <w:color w:val="000000"/>
          <w:sz w:val="22"/>
          <w:szCs w:val="22"/>
        </w:rPr>
        <w:tab/>
      </w:r>
    </w:p>
    <w:p w14:paraId="04BD606A" w14:textId="6BF671ED" w:rsidR="00FD5520" w:rsidRPr="0071045B" w:rsidRDefault="000022E4">
      <w:pPr>
        <w:pBdr>
          <w:top w:val="nil"/>
          <w:left w:val="nil"/>
          <w:bottom w:val="nil"/>
          <w:right w:val="nil"/>
          <w:between w:val="nil"/>
        </w:pBdr>
        <w:ind w:left="720" w:firstLine="720"/>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C = 2.00 (70-79); Failed - No credit given</w:t>
      </w:r>
      <w:r w:rsidRPr="0071045B">
        <w:rPr>
          <w:rFonts w:asciiTheme="majorHAnsi" w:eastAsia="Calibri" w:hAnsiTheme="majorHAnsi" w:cstheme="majorHAnsi"/>
          <w:color w:val="000000"/>
          <w:sz w:val="22"/>
          <w:szCs w:val="22"/>
        </w:rPr>
        <w:tab/>
      </w:r>
      <w:r w:rsidRPr="0071045B">
        <w:rPr>
          <w:rFonts w:asciiTheme="majorHAnsi" w:eastAsia="Calibri" w:hAnsiTheme="majorHAnsi" w:cstheme="majorHAnsi"/>
          <w:color w:val="000000"/>
          <w:sz w:val="22"/>
          <w:szCs w:val="22"/>
        </w:rPr>
        <w:tab/>
        <w:t>F = 0.00 (</w:t>
      </w:r>
      <w:r w:rsidR="0071045B">
        <w:rPr>
          <w:rFonts w:asciiTheme="majorHAnsi" w:eastAsia="Calibri" w:hAnsiTheme="majorHAnsi" w:cstheme="majorHAnsi"/>
          <w:color w:val="000000"/>
          <w:sz w:val="22"/>
          <w:szCs w:val="22"/>
          <w:u w:val="single"/>
        </w:rPr>
        <w:t>&lt;</w:t>
      </w:r>
      <w:r w:rsidRPr="0071045B">
        <w:rPr>
          <w:rFonts w:asciiTheme="majorHAnsi" w:eastAsia="Calibri" w:hAnsiTheme="majorHAnsi" w:cstheme="majorHAnsi"/>
          <w:color w:val="000000"/>
          <w:sz w:val="22"/>
          <w:szCs w:val="22"/>
        </w:rPr>
        <w:t xml:space="preserve"> 69); Failed - No credit given</w:t>
      </w:r>
    </w:p>
    <w:p w14:paraId="702873BC" w14:textId="576A1466" w:rsidR="00FD5520" w:rsidRDefault="00FD5520">
      <w:pPr>
        <w:widowControl w:val="0"/>
        <w:spacing w:before="9"/>
        <w:rPr>
          <w:rFonts w:asciiTheme="majorHAnsi" w:eastAsia="Calibri" w:hAnsiTheme="majorHAnsi" w:cstheme="majorHAnsi"/>
          <w:sz w:val="22"/>
          <w:szCs w:val="22"/>
        </w:rPr>
      </w:pPr>
    </w:p>
    <w:p w14:paraId="1B9D7FFF" w14:textId="0444258B" w:rsidR="001A3050" w:rsidRDefault="001A3050">
      <w:pPr>
        <w:widowControl w:val="0"/>
        <w:spacing w:before="9"/>
        <w:rPr>
          <w:rFonts w:asciiTheme="majorHAnsi" w:eastAsia="Calibri" w:hAnsiTheme="majorHAnsi" w:cstheme="majorHAnsi"/>
          <w:sz w:val="22"/>
          <w:szCs w:val="22"/>
        </w:rPr>
      </w:pPr>
    </w:p>
    <w:p w14:paraId="4560F90C" w14:textId="77777777" w:rsidR="001A3050" w:rsidRPr="0071045B" w:rsidRDefault="001A3050">
      <w:pPr>
        <w:widowControl w:val="0"/>
        <w:spacing w:before="9"/>
        <w:rPr>
          <w:rFonts w:asciiTheme="majorHAnsi" w:eastAsia="Calibri" w:hAnsiTheme="majorHAnsi" w:cstheme="majorHAnsi"/>
          <w:sz w:val="22"/>
          <w:szCs w:val="22"/>
        </w:rPr>
      </w:pPr>
    </w:p>
    <w:p w14:paraId="5AECE878" w14:textId="77777777" w:rsidR="00FD5520" w:rsidRPr="0071045B" w:rsidRDefault="000022E4">
      <w:pPr>
        <w:rPr>
          <w:rFonts w:asciiTheme="majorHAnsi" w:eastAsia="Calibri" w:hAnsiTheme="majorHAnsi" w:cstheme="majorHAnsi"/>
          <w:b/>
          <w:color w:val="000000"/>
          <w:sz w:val="22"/>
          <w:szCs w:val="22"/>
        </w:rPr>
      </w:pPr>
      <w:bookmarkStart w:id="6" w:name="_heading=h.1t3h5sf" w:colFirst="0" w:colLast="0"/>
      <w:bookmarkEnd w:id="6"/>
      <w:r w:rsidRPr="0071045B">
        <w:rPr>
          <w:rFonts w:asciiTheme="majorHAnsi" w:eastAsia="Calibri" w:hAnsiTheme="majorHAnsi" w:cstheme="majorHAnsi"/>
          <w:b/>
          <w:color w:val="000000"/>
          <w:sz w:val="22"/>
          <w:szCs w:val="22"/>
        </w:rPr>
        <w:lastRenderedPageBreak/>
        <w:t xml:space="preserve">Course Policies </w:t>
      </w:r>
    </w:p>
    <w:p w14:paraId="777E3F45" w14:textId="77777777" w:rsidR="009E194D" w:rsidRPr="0071045B" w:rsidRDefault="000022E4">
      <w:pPr>
        <w:rPr>
          <w:rFonts w:asciiTheme="majorHAnsi" w:eastAsia="Calibri" w:hAnsiTheme="majorHAnsi" w:cstheme="majorHAnsi"/>
          <w:sz w:val="22"/>
          <w:szCs w:val="22"/>
        </w:rPr>
      </w:pPr>
      <w:bookmarkStart w:id="7" w:name="_heading=h.4d34og8" w:colFirst="0" w:colLast="0"/>
      <w:bookmarkEnd w:id="7"/>
      <w:r w:rsidRPr="0071045B">
        <w:rPr>
          <w:rFonts w:asciiTheme="majorHAnsi" w:eastAsia="Calibri" w:hAnsiTheme="majorHAnsi" w:cstheme="majorHAnsi"/>
          <w:b/>
          <w:i/>
          <w:color w:val="000000"/>
          <w:sz w:val="22"/>
          <w:szCs w:val="22"/>
        </w:rPr>
        <w:t>Instructor and Student Communication:</w:t>
      </w:r>
      <w:r w:rsidRPr="0071045B">
        <w:rPr>
          <w:rFonts w:asciiTheme="majorHAnsi" w:eastAsia="Calibri" w:hAnsiTheme="majorHAnsi" w:cstheme="majorHAnsi"/>
          <w:sz w:val="22"/>
          <w:szCs w:val="22"/>
        </w:rPr>
        <w:t xml:space="preserve"> Questions for this course can be emailed to the instructor.  Online, in-person, and phone conferences can be arranged. Response time is up to 2 days.</w:t>
      </w:r>
      <w:r w:rsidR="00C13FAA" w:rsidRPr="0071045B">
        <w:rPr>
          <w:rFonts w:asciiTheme="majorHAnsi" w:eastAsia="Calibri" w:hAnsiTheme="majorHAnsi" w:cstheme="majorHAnsi"/>
          <w:sz w:val="22"/>
          <w:szCs w:val="22"/>
        </w:rPr>
        <w:t xml:space="preserve"> </w:t>
      </w:r>
    </w:p>
    <w:p w14:paraId="7220EF2C" w14:textId="77777777" w:rsidR="009E194D" w:rsidRPr="0071045B" w:rsidRDefault="009E194D">
      <w:pPr>
        <w:rPr>
          <w:rFonts w:asciiTheme="majorHAnsi" w:eastAsia="Calibri" w:hAnsiTheme="majorHAnsi" w:cstheme="majorHAnsi"/>
          <w:sz w:val="22"/>
          <w:szCs w:val="22"/>
        </w:rPr>
      </w:pPr>
    </w:p>
    <w:p w14:paraId="56CCECE2" w14:textId="77777777" w:rsidR="009E194D" w:rsidRPr="0071045B" w:rsidRDefault="009E194D">
      <w:pPr>
        <w:rPr>
          <w:rFonts w:asciiTheme="majorHAnsi" w:eastAsia="Calibri" w:hAnsiTheme="majorHAnsi" w:cstheme="majorHAnsi"/>
          <w:sz w:val="22"/>
          <w:szCs w:val="22"/>
        </w:rPr>
      </w:pPr>
      <w:r w:rsidRPr="0071045B">
        <w:rPr>
          <w:rFonts w:asciiTheme="majorHAnsi" w:eastAsia="Calibri" w:hAnsiTheme="majorHAnsi" w:cstheme="majorHAnsi"/>
          <w:b/>
          <w:i/>
          <w:sz w:val="22"/>
          <w:szCs w:val="22"/>
        </w:rPr>
        <w:t>Late work:</w:t>
      </w:r>
      <w:r w:rsidRPr="0071045B">
        <w:rPr>
          <w:rFonts w:asciiTheme="majorHAnsi" w:eastAsia="Calibri" w:hAnsiTheme="majorHAnsi" w:cstheme="majorHAnsi"/>
          <w:sz w:val="22"/>
          <w:szCs w:val="22"/>
        </w:rPr>
        <w:t xml:space="preserve"> </w:t>
      </w:r>
      <w:r w:rsidR="00C13FAA" w:rsidRPr="0071045B">
        <w:rPr>
          <w:rFonts w:asciiTheme="majorHAnsi" w:eastAsia="Calibri" w:hAnsiTheme="majorHAnsi" w:cstheme="majorHAnsi"/>
          <w:sz w:val="22"/>
          <w:szCs w:val="22"/>
        </w:rPr>
        <w:t xml:space="preserve">Late work will be accepted but will be docked </w:t>
      </w:r>
      <w:r w:rsidRPr="0071045B">
        <w:rPr>
          <w:rFonts w:asciiTheme="majorHAnsi" w:eastAsia="Calibri" w:hAnsiTheme="majorHAnsi" w:cstheme="majorHAnsi"/>
          <w:sz w:val="22"/>
          <w:szCs w:val="22"/>
        </w:rPr>
        <w:t>1 point</w:t>
      </w:r>
      <w:r w:rsidR="00C13FAA" w:rsidRPr="0071045B">
        <w:rPr>
          <w:rFonts w:asciiTheme="majorHAnsi" w:eastAsia="Calibri" w:hAnsiTheme="majorHAnsi" w:cstheme="majorHAnsi"/>
          <w:sz w:val="22"/>
          <w:szCs w:val="22"/>
        </w:rPr>
        <w:t xml:space="preserve"> for each day it is late and partial credit will only be given if submission occurs within 7 days. </w:t>
      </w:r>
    </w:p>
    <w:p w14:paraId="6FFEB003" w14:textId="77777777" w:rsidR="009E194D" w:rsidRPr="0071045B" w:rsidRDefault="009E194D">
      <w:pPr>
        <w:rPr>
          <w:rFonts w:asciiTheme="majorHAnsi" w:eastAsia="Calibri" w:hAnsiTheme="majorHAnsi" w:cstheme="majorHAnsi"/>
          <w:b/>
          <w:i/>
          <w:color w:val="000000"/>
          <w:sz w:val="22"/>
          <w:szCs w:val="22"/>
          <w:highlight w:val="yellow"/>
        </w:rPr>
      </w:pPr>
    </w:p>
    <w:p w14:paraId="4D9F3050" w14:textId="0EA8778A" w:rsidR="00FD5520" w:rsidRPr="0071045B" w:rsidRDefault="000022E4">
      <w:pPr>
        <w:rPr>
          <w:rFonts w:asciiTheme="majorHAnsi" w:eastAsia="Calibri" w:hAnsiTheme="majorHAnsi" w:cstheme="majorHAnsi"/>
          <w:color w:val="000000"/>
          <w:sz w:val="22"/>
          <w:szCs w:val="22"/>
        </w:rPr>
      </w:pPr>
      <w:r w:rsidRPr="0071045B">
        <w:rPr>
          <w:rFonts w:asciiTheme="majorHAnsi" w:eastAsia="Calibri" w:hAnsiTheme="majorHAnsi" w:cstheme="majorHAnsi"/>
          <w:b/>
          <w:i/>
          <w:color w:val="000000"/>
          <w:sz w:val="22"/>
          <w:szCs w:val="22"/>
        </w:rPr>
        <w:t>Cell phones, tablets, and laptops:</w:t>
      </w:r>
      <w:r w:rsidRPr="0071045B">
        <w:rPr>
          <w:rFonts w:asciiTheme="majorHAnsi" w:eastAsia="Calibri" w:hAnsiTheme="majorHAnsi" w:cstheme="majorHAnsi"/>
          <w:color w:val="000000"/>
          <w:sz w:val="22"/>
          <w:szCs w:val="22"/>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F0D5C67" w14:textId="77777777" w:rsidR="00FD5520" w:rsidRPr="0071045B" w:rsidRDefault="00FD5520">
      <w:pPr>
        <w:rPr>
          <w:rFonts w:asciiTheme="majorHAnsi" w:eastAsia="Calibri" w:hAnsiTheme="majorHAnsi" w:cstheme="majorHAnsi"/>
          <w:b/>
          <w:color w:val="000000"/>
          <w:sz w:val="22"/>
          <w:szCs w:val="22"/>
        </w:rPr>
      </w:pPr>
      <w:bookmarkStart w:id="8" w:name="_heading=h.2s8eyo1" w:colFirst="0" w:colLast="0"/>
      <w:bookmarkEnd w:id="8"/>
    </w:p>
    <w:p w14:paraId="6E9ED879" w14:textId="77777777" w:rsidR="00FD5520" w:rsidRPr="0071045B" w:rsidRDefault="000022E4">
      <w:pPr>
        <w:pBdr>
          <w:top w:val="nil"/>
          <w:left w:val="nil"/>
          <w:bottom w:val="nil"/>
          <w:right w:val="nil"/>
          <w:between w:val="nil"/>
        </w:pBdr>
        <w:rPr>
          <w:rFonts w:asciiTheme="majorHAnsi" w:eastAsia="Calibri" w:hAnsiTheme="majorHAnsi" w:cstheme="majorHAnsi"/>
          <w:color w:val="222222"/>
          <w:sz w:val="22"/>
          <w:szCs w:val="22"/>
        </w:rPr>
      </w:pPr>
      <w:r w:rsidRPr="0071045B">
        <w:rPr>
          <w:rFonts w:asciiTheme="majorHAnsi" w:eastAsia="Calibri" w:hAnsiTheme="majorHAnsi" w:cstheme="majorHAnsi"/>
          <w:b/>
          <w:i/>
          <w:color w:val="000000"/>
          <w:sz w:val="22"/>
          <w:szCs w:val="22"/>
        </w:rPr>
        <w:t xml:space="preserve">Disability Access: </w:t>
      </w:r>
      <w:r w:rsidRPr="0071045B">
        <w:rPr>
          <w:rFonts w:asciiTheme="majorHAnsi" w:eastAsia="Calibri" w:hAnsiTheme="majorHAnsi" w:cstheme="majorHAnsi"/>
          <w:color w:val="000000"/>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71045B">
        <w:rPr>
          <w:rFonts w:asciiTheme="majorHAnsi" w:eastAsia="Calibri" w:hAnsiTheme="majorHAnsi" w:cstheme="majorHAnsi"/>
          <w:color w:val="000000"/>
          <w:sz w:val="22"/>
          <w:szCs w:val="22"/>
        </w:rPr>
        <w:t>Kōkua</w:t>
      </w:r>
      <w:proofErr w:type="spellEnd"/>
      <w:r w:rsidRPr="0071045B">
        <w:rPr>
          <w:rFonts w:asciiTheme="majorHAnsi" w:eastAsia="Calibri" w:hAnsiTheme="majorHAnsi" w:cstheme="majorHAnsi"/>
          <w:color w:val="000000"/>
          <w:sz w:val="22"/>
          <w:szCs w:val="22"/>
        </w:rPr>
        <w:t xml:space="preserve"> </w:t>
      </w:r>
      <w:proofErr w:type="spellStart"/>
      <w:r w:rsidRPr="0071045B">
        <w:rPr>
          <w:rFonts w:asciiTheme="majorHAnsi" w:eastAsia="Calibri" w:hAnsiTheme="majorHAnsi" w:cstheme="majorHAnsi"/>
          <w:color w:val="000000"/>
          <w:sz w:val="22"/>
          <w:szCs w:val="22"/>
        </w:rPr>
        <w:t>ʻIke</w:t>
      </w:r>
      <w:proofErr w:type="spellEnd"/>
      <w:r w:rsidRPr="0071045B">
        <w:rPr>
          <w:rFonts w:asciiTheme="majorHAnsi" w:eastAsia="Calibri" w:hAnsiTheme="majorHAnsi" w:cstheme="majorHAnsi"/>
          <w:color w:val="000000"/>
          <w:sz w:val="22"/>
          <w:szCs w:val="22"/>
        </w:rPr>
        <w:t xml:space="preserve"> Coordinator at (808) 739-8305 for further information (</w:t>
      </w:r>
      <w:hyperlink r:id="rId27">
        <w:r w:rsidRPr="0071045B">
          <w:rPr>
            <w:rFonts w:asciiTheme="majorHAnsi" w:eastAsia="Calibri" w:hAnsiTheme="majorHAnsi" w:cstheme="majorHAnsi"/>
            <w:color w:val="0000FF"/>
            <w:sz w:val="22"/>
            <w:szCs w:val="22"/>
            <w:u w:val="single"/>
          </w:rPr>
          <w:t>ada@chaminade.edu</w:t>
        </w:r>
      </w:hyperlink>
      <w:r w:rsidRPr="0071045B">
        <w:rPr>
          <w:rFonts w:asciiTheme="majorHAnsi" w:eastAsia="Calibri" w:hAnsiTheme="majorHAnsi" w:cstheme="majorHAnsi"/>
          <w:color w:val="000000"/>
          <w:sz w:val="22"/>
          <w:szCs w:val="22"/>
        </w:rPr>
        <w:t>).</w:t>
      </w:r>
    </w:p>
    <w:p w14:paraId="5EE379F0" w14:textId="77777777" w:rsidR="00FD5520" w:rsidRPr="0071045B" w:rsidRDefault="00FD5520">
      <w:pPr>
        <w:pBdr>
          <w:top w:val="nil"/>
          <w:left w:val="nil"/>
          <w:bottom w:val="nil"/>
          <w:right w:val="nil"/>
          <w:between w:val="nil"/>
        </w:pBdr>
        <w:rPr>
          <w:rFonts w:asciiTheme="majorHAnsi" w:eastAsia="Calibri" w:hAnsiTheme="majorHAnsi" w:cstheme="majorHAnsi"/>
          <w:color w:val="000000"/>
          <w:sz w:val="22"/>
          <w:szCs w:val="22"/>
        </w:rPr>
      </w:pPr>
    </w:p>
    <w:p w14:paraId="57C9E040"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bookmarkStart w:id="9" w:name="_heading=h.17dp8vu" w:colFirst="0" w:colLast="0"/>
      <w:bookmarkEnd w:id="9"/>
      <w:r w:rsidRPr="0071045B">
        <w:rPr>
          <w:rFonts w:asciiTheme="majorHAnsi" w:eastAsia="Calibri" w:hAnsiTheme="majorHAnsi" w:cstheme="majorHAnsi"/>
          <w:color w:val="000000"/>
          <w:sz w:val="22"/>
          <w:szCs w:val="22"/>
        </w:rPr>
        <w:t>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14:paraId="76ACDEF3" w14:textId="77777777" w:rsidR="00FD5520" w:rsidRPr="0071045B" w:rsidRDefault="00FD5520">
      <w:pPr>
        <w:pBdr>
          <w:top w:val="nil"/>
          <w:left w:val="nil"/>
          <w:bottom w:val="nil"/>
          <w:right w:val="nil"/>
          <w:between w:val="nil"/>
        </w:pBdr>
        <w:rPr>
          <w:rFonts w:asciiTheme="majorHAnsi" w:eastAsia="Calibri" w:hAnsiTheme="majorHAnsi" w:cstheme="majorHAnsi"/>
          <w:b/>
          <w:color w:val="000000"/>
          <w:sz w:val="22"/>
          <w:szCs w:val="22"/>
        </w:rPr>
      </w:pPr>
      <w:bookmarkStart w:id="10" w:name="_heading=h.3rdcrjn" w:colFirst="0" w:colLast="0"/>
      <w:bookmarkEnd w:id="10"/>
    </w:p>
    <w:p w14:paraId="60F1F91A"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b/>
          <w:i/>
          <w:color w:val="000000"/>
          <w:sz w:val="22"/>
          <w:szCs w:val="22"/>
        </w:rPr>
        <w:t>Title IX Compliance:</w:t>
      </w:r>
      <w:r w:rsidRPr="0071045B">
        <w:rPr>
          <w:rFonts w:asciiTheme="majorHAnsi" w:eastAsia="Calibri" w:hAnsiTheme="majorHAnsi" w:cstheme="majorHAnsi"/>
          <w:color w:val="000000"/>
          <w:sz w:val="22"/>
          <w:szCs w:val="22"/>
        </w:rPr>
        <w:t xml:space="preserve">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you are encouraged to report this matter promptly. Faculty members promote safe and healthy environments, and any sexual, physical, and/or psychological misconduct or abuse will be reported to the Title IX Coordinator. If you or someone you know has been harassed or assaulted, you can find the appropriate resources by visiting Campus Ministry, the Dean of Students Office, the Counseling Center, or the Office for Compliance and Personnel Services.</w:t>
      </w:r>
    </w:p>
    <w:p w14:paraId="3DEE38C8" w14:textId="77777777" w:rsidR="00FD5520" w:rsidRPr="0071045B" w:rsidRDefault="00FD5520">
      <w:pPr>
        <w:rPr>
          <w:rFonts w:asciiTheme="majorHAnsi" w:eastAsia="Calibri" w:hAnsiTheme="majorHAnsi" w:cstheme="majorHAnsi"/>
          <w:color w:val="000000"/>
          <w:sz w:val="22"/>
          <w:szCs w:val="22"/>
        </w:rPr>
      </w:pPr>
    </w:p>
    <w:p w14:paraId="77051E6E" w14:textId="77777777" w:rsidR="00FD5520" w:rsidRPr="0071045B" w:rsidRDefault="000022E4">
      <w:pPr>
        <w:rPr>
          <w:rFonts w:asciiTheme="majorHAnsi" w:eastAsia="Calibri" w:hAnsiTheme="majorHAnsi" w:cstheme="majorHAnsi"/>
          <w:color w:val="000000"/>
          <w:sz w:val="22"/>
          <w:szCs w:val="22"/>
        </w:rPr>
      </w:pPr>
      <w:r w:rsidRPr="0071045B">
        <w:rPr>
          <w:rFonts w:asciiTheme="majorHAnsi" w:eastAsia="Calibri" w:hAnsiTheme="majorHAnsi" w:cstheme="majorHAnsi"/>
          <w:b/>
          <w:i/>
          <w:color w:val="000000"/>
          <w:sz w:val="22"/>
          <w:szCs w:val="22"/>
        </w:rPr>
        <w:t>Attendance Policy:</w:t>
      </w:r>
      <w:r w:rsidRPr="0071045B">
        <w:rPr>
          <w:rFonts w:asciiTheme="majorHAnsi" w:eastAsia="Calibri" w:hAnsiTheme="majorHAnsi" w:cstheme="majorHAnsi"/>
          <w:color w:val="000000"/>
          <w:sz w:val="22"/>
          <w:szCs w:val="22"/>
        </w:rPr>
        <w:t xml:space="preserve"> Students are expected to attend regularly all courses for which they are registered. Student should notify their instructors when illness or other extenuating circumstances prevents them from attending class, and they should make arrangements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A6D50A2" w14:textId="77777777" w:rsidR="00FD5520" w:rsidRPr="0071045B" w:rsidRDefault="00FD5520">
      <w:pPr>
        <w:rPr>
          <w:rFonts w:asciiTheme="majorHAnsi" w:eastAsia="Calibri" w:hAnsiTheme="majorHAnsi" w:cstheme="majorHAnsi"/>
          <w:color w:val="000000"/>
          <w:sz w:val="22"/>
          <w:szCs w:val="22"/>
        </w:rPr>
      </w:pPr>
    </w:p>
    <w:p w14:paraId="6EBB1544" w14:textId="77777777" w:rsidR="00FD5520" w:rsidRPr="0071045B" w:rsidRDefault="000022E4">
      <w:pPr>
        <w:pBdr>
          <w:top w:val="nil"/>
          <w:left w:val="nil"/>
          <w:bottom w:val="nil"/>
          <w:right w:val="nil"/>
          <w:between w:val="nil"/>
        </w:pBd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row in a 16-week term. </w:t>
      </w:r>
    </w:p>
    <w:p w14:paraId="1A2BB74F" w14:textId="77777777" w:rsidR="00FD5520" w:rsidRPr="0071045B" w:rsidRDefault="00FD5520">
      <w:pPr>
        <w:rPr>
          <w:rFonts w:asciiTheme="majorHAnsi" w:eastAsia="Calibri" w:hAnsiTheme="majorHAnsi" w:cstheme="majorHAnsi"/>
          <w:color w:val="000000"/>
          <w:sz w:val="22"/>
          <w:szCs w:val="22"/>
        </w:rPr>
      </w:pPr>
    </w:p>
    <w:p w14:paraId="1A2410DE" w14:textId="77777777" w:rsidR="00FD5520" w:rsidRPr="0071045B" w:rsidRDefault="000022E4">
      <w:pPr>
        <w:rPr>
          <w:rFonts w:asciiTheme="majorHAnsi" w:eastAsia="Calibri" w:hAnsiTheme="majorHAnsi" w:cstheme="majorHAnsi"/>
          <w:color w:val="000000"/>
          <w:sz w:val="22"/>
          <w:szCs w:val="22"/>
        </w:rPr>
      </w:pPr>
      <w:r w:rsidRPr="0071045B">
        <w:rPr>
          <w:rFonts w:asciiTheme="majorHAnsi" w:eastAsia="Calibri" w:hAnsiTheme="majorHAnsi" w:cstheme="majorHAnsi"/>
          <w:color w:val="000000"/>
          <w:sz w:val="22"/>
          <w:szCs w:val="22"/>
        </w:rPr>
        <w:lastRenderedPageBreak/>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official withdrawal may receive a failing grade or be withdrawn by the instructor at the instructor’s discretion.</w:t>
      </w:r>
    </w:p>
    <w:p w14:paraId="74A7CCD7" w14:textId="77777777" w:rsidR="00FD5520" w:rsidRPr="0071045B" w:rsidRDefault="00FD5520">
      <w:pPr>
        <w:rPr>
          <w:rFonts w:asciiTheme="majorHAnsi" w:eastAsia="Calibri" w:hAnsiTheme="majorHAnsi" w:cstheme="majorHAnsi"/>
          <w:color w:val="000000"/>
          <w:sz w:val="22"/>
          <w:szCs w:val="22"/>
        </w:rPr>
      </w:pPr>
    </w:p>
    <w:p w14:paraId="646A5D26" w14:textId="77777777" w:rsidR="00FD5520" w:rsidRPr="0071045B" w:rsidRDefault="000022E4">
      <w:pPr>
        <w:rPr>
          <w:rFonts w:asciiTheme="majorHAnsi" w:eastAsia="Calibri" w:hAnsiTheme="majorHAnsi" w:cstheme="majorHAnsi"/>
          <w:color w:val="000000"/>
          <w:sz w:val="22"/>
          <w:szCs w:val="22"/>
        </w:rPr>
      </w:pPr>
      <w:r w:rsidRPr="0071045B">
        <w:rPr>
          <w:rFonts w:asciiTheme="majorHAnsi" w:eastAsia="Calibri" w:hAnsiTheme="majorHAnsi" w:cstheme="majorHAnsi"/>
          <w:b/>
          <w:i/>
          <w:color w:val="000000"/>
          <w:sz w:val="22"/>
          <w:szCs w:val="22"/>
        </w:rPr>
        <w:t xml:space="preserve">Academic Conduct Policy: </w:t>
      </w:r>
      <w:r w:rsidRPr="0071045B">
        <w:rPr>
          <w:rFonts w:asciiTheme="majorHAnsi" w:eastAsia="Calibri" w:hAnsiTheme="majorHAnsi" w:cstheme="majorHAnsi"/>
          <w:color w:val="000000"/>
          <w:sz w:val="22"/>
          <w:szCs w:val="22"/>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HSPP Program Catalog, and operated within the guidelines set to honor both students’ rights and campus values. </w:t>
      </w:r>
    </w:p>
    <w:p w14:paraId="5F845D2F" w14:textId="77777777" w:rsidR="00FD5520" w:rsidRPr="0071045B" w:rsidRDefault="00FD5520">
      <w:pPr>
        <w:rPr>
          <w:rFonts w:asciiTheme="majorHAnsi" w:eastAsia="Calibri" w:hAnsiTheme="majorHAnsi" w:cstheme="majorHAnsi"/>
          <w:color w:val="000000"/>
          <w:sz w:val="22"/>
          <w:szCs w:val="22"/>
        </w:rPr>
      </w:pPr>
    </w:p>
    <w:p w14:paraId="73F7C0DE" w14:textId="77777777" w:rsidR="00FD5520" w:rsidRPr="0071045B" w:rsidRDefault="000022E4">
      <w:pPr>
        <w:rPr>
          <w:rFonts w:asciiTheme="majorHAnsi" w:eastAsia="Calibri" w:hAnsiTheme="majorHAnsi" w:cstheme="majorHAnsi"/>
          <w:color w:val="000000"/>
          <w:sz w:val="22"/>
          <w:szCs w:val="22"/>
          <w:u w:val="single"/>
        </w:rPr>
      </w:pPr>
      <w:r w:rsidRPr="0071045B">
        <w:rPr>
          <w:rFonts w:asciiTheme="majorHAnsi" w:eastAsia="Calibri" w:hAnsiTheme="majorHAnsi" w:cstheme="majorHAnsi"/>
          <w:color w:val="000000"/>
          <w:sz w:val="22"/>
          <w:szCs w:val="22"/>
        </w:rPr>
        <w:t>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Student Handbook and HSPP Program Catalog for more details. A copy of the Student Handbook is available on the Chaminade website (</w:t>
      </w:r>
      <w:hyperlink r:id="rId28">
        <w:r w:rsidRPr="0071045B">
          <w:rPr>
            <w:rFonts w:asciiTheme="majorHAnsi" w:eastAsia="Calibri" w:hAnsiTheme="majorHAnsi" w:cstheme="majorHAnsi"/>
            <w:color w:val="000000"/>
            <w:sz w:val="22"/>
            <w:szCs w:val="22"/>
            <w:u w:val="single"/>
          </w:rPr>
          <w:t>https://studentaffairs.chaminade.edu/</w:t>
        </w:r>
      </w:hyperlink>
      <w:r w:rsidRPr="0071045B">
        <w:rPr>
          <w:rFonts w:asciiTheme="majorHAnsi" w:eastAsia="Calibri" w:hAnsiTheme="majorHAnsi" w:cstheme="majorHAnsi"/>
          <w:color w:val="000000"/>
          <w:sz w:val="22"/>
          <w:szCs w:val="22"/>
          <w:u w:val="single"/>
        </w:rPr>
        <w:t xml:space="preserve">). </w:t>
      </w:r>
    </w:p>
    <w:p w14:paraId="02AEFAF7" w14:textId="77777777" w:rsidR="00FD5520" w:rsidRPr="0071045B" w:rsidRDefault="00FD5520">
      <w:pPr>
        <w:rPr>
          <w:rFonts w:asciiTheme="majorHAnsi" w:eastAsia="Calibri" w:hAnsiTheme="majorHAnsi" w:cstheme="majorHAnsi"/>
          <w:color w:val="000000"/>
          <w:sz w:val="22"/>
          <w:szCs w:val="22"/>
          <w:u w:val="single"/>
        </w:rPr>
      </w:pPr>
    </w:p>
    <w:p w14:paraId="0DDE8204" w14:textId="77777777" w:rsidR="00FD5520" w:rsidRPr="0071045B" w:rsidRDefault="000022E4">
      <w:pPr>
        <w:rPr>
          <w:rFonts w:asciiTheme="majorHAnsi" w:eastAsia="Calibri" w:hAnsiTheme="majorHAnsi" w:cstheme="majorHAnsi"/>
          <w:b/>
          <w:color w:val="000000"/>
          <w:sz w:val="22"/>
          <w:szCs w:val="22"/>
        </w:rPr>
      </w:pPr>
      <w:r w:rsidRPr="0071045B">
        <w:rPr>
          <w:rFonts w:asciiTheme="majorHAnsi" w:eastAsia="Calibri" w:hAnsiTheme="majorHAnsi" w:cstheme="majorHAnsi"/>
          <w:color w:val="000000"/>
          <w:sz w:val="22"/>
          <w:szCs w:val="22"/>
        </w:rPr>
        <w:t xml:space="preserve">Unless otherwise instructed, all course submissions should follow the formatting of the </w:t>
      </w:r>
      <w:r w:rsidRPr="0071045B">
        <w:rPr>
          <w:rFonts w:asciiTheme="majorHAnsi" w:eastAsia="Calibri" w:hAnsiTheme="majorHAnsi" w:cstheme="majorHAnsi"/>
          <w:i/>
          <w:color w:val="000000"/>
          <w:sz w:val="22"/>
          <w:szCs w:val="22"/>
        </w:rPr>
        <w:t>Publication Manual of the American Psychological Association, 7</w:t>
      </w:r>
      <w:r w:rsidRPr="0071045B">
        <w:rPr>
          <w:rFonts w:asciiTheme="majorHAnsi" w:eastAsia="Calibri" w:hAnsiTheme="majorHAnsi" w:cstheme="majorHAnsi"/>
          <w:i/>
          <w:color w:val="000000"/>
          <w:sz w:val="22"/>
          <w:szCs w:val="22"/>
          <w:vertAlign w:val="superscript"/>
        </w:rPr>
        <w:t>th</w:t>
      </w:r>
      <w:r w:rsidRPr="0071045B">
        <w:rPr>
          <w:rFonts w:asciiTheme="majorHAnsi" w:eastAsia="Calibri" w:hAnsiTheme="majorHAnsi" w:cstheme="majorHAnsi"/>
          <w:i/>
          <w:color w:val="000000"/>
          <w:sz w:val="22"/>
          <w:szCs w:val="22"/>
        </w:rPr>
        <w:t xml:space="preserve"> Edition </w:t>
      </w:r>
      <w:r w:rsidRPr="0071045B">
        <w:rPr>
          <w:rFonts w:asciiTheme="majorHAnsi" w:eastAsia="Calibri" w:hAnsiTheme="majorHAnsi" w:cstheme="majorHAnsi"/>
          <w:color w:val="000000"/>
          <w:sz w:val="22"/>
          <w:szCs w:val="22"/>
        </w:rPr>
        <w:t xml:space="preserve">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 may be asked to submit your course assignments through an online authenticity resource (e.g., </w:t>
      </w:r>
      <w:proofErr w:type="spellStart"/>
      <w:r w:rsidRPr="0071045B">
        <w:rPr>
          <w:rFonts w:asciiTheme="majorHAnsi" w:eastAsia="Calibri" w:hAnsiTheme="majorHAnsi" w:cstheme="majorHAnsi"/>
          <w:color w:val="000000"/>
          <w:sz w:val="22"/>
          <w:szCs w:val="22"/>
        </w:rPr>
        <w:t>Turnitin</w:t>
      </w:r>
      <w:proofErr w:type="spellEnd"/>
      <w:r w:rsidRPr="0071045B">
        <w:rPr>
          <w:rFonts w:asciiTheme="majorHAnsi" w:eastAsia="Calibri" w:hAnsiTheme="majorHAnsi" w:cstheme="majorHAnsi"/>
          <w:color w:val="000000"/>
          <w:sz w:val="22"/>
          <w:szCs w:val="22"/>
        </w:rPr>
        <w:t xml:space="preserve">), which helps students and instructors detect potential cases of academic dishonesty. </w:t>
      </w:r>
    </w:p>
    <w:p w14:paraId="2C2E9458" w14:textId="77777777" w:rsidR="00FD5520" w:rsidRPr="0071045B" w:rsidRDefault="00FD5520">
      <w:pPr>
        <w:rPr>
          <w:rFonts w:asciiTheme="majorHAnsi" w:eastAsia="Calibri" w:hAnsiTheme="majorHAnsi" w:cstheme="majorHAnsi"/>
          <w:b/>
          <w:sz w:val="22"/>
          <w:szCs w:val="22"/>
        </w:rPr>
      </w:pPr>
    </w:p>
    <w:p w14:paraId="11FDC9FD" w14:textId="61AAEAA6" w:rsidR="00FD5520" w:rsidRDefault="000022E4">
      <w:pPr>
        <w:rPr>
          <w:rFonts w:asciiTheme="majorHAnsi" w:eastAsia="Calibri" w:hAnsiTheme="majorHAnsi" w:cstheme="majorHAnsi"/>
          <w:color w:val="000000"/>
          <w:sz w:val="22"/>
          <w:szCs w:val="22"/>
        </w:rPr>
      </w:pPr>
      <w:r w:rsidRPr="0071045B">
        <w:rPr>
          <w:rFonts w:asciiTheme="majorHAnsi" w:eastAsia="Calibri" w:hAnsiTheme="majorHAnsi" w:cstheme="majorHAnsi"/>
          <w:b/>
          <w:i/>
          <w:sz w:val="22"/>
          <w:szCs w:val="22"/>
        </w:rPr>
        <w:t>Technology:</w:t>
      </w:r>
      <w:r w:rsidRPr="0071045B">
        <w:rPr>
          <w:rFonts w:asciiTheme="majorHAnsi" w:eastAsia="Calibri" w:hAnsiTheme="majorHAnsi" w:cstheme="majorHAnsi"/>
          <w:color w:val="000000"/>
          <w:sz w:val="22"/>
          <w:szCs w:val="22"/>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w:t>
      </w:r>
    </w:p>
    <w:p w14:paraId="0ECE1883" w14:textId="77777777" w:rsidR="007563EC" w:rsidRPr="0071045B" w:rsidRDefault="007563EC">
      <w:pPr>
        <w:rPr>
          <w:rFonts w:asciiTheme="majorHAnsi" w:eastAsia="Calibri" w:hAnsiTheme="majorHAnsi" w:cstheme="majorHAnsi"/>
          <w:color w:val="000000"/>
          <w:sz w:val="22"/>
          <w:szCs w:val="22"/>
        </w:rPr>
      </w:pPr>
    </w:p>
    <w:p w14:paraId="7776DEF9" w14:textId="71A8FFD6" w:rsidR="00FD5520" w:rsidRPr="0061735C" w:rsidRDefault="000022E4">
      <w:pPr>
        <w:pBdr>
          <w:top w:val="nil"/>
          <w:left w:val="nil"/>
          <w:bottom w:val="nil"/>
          <w:right w:val="nil"/>
          <w:between w:val="nil"/>
        </w:pBdr>
        <w:rPr>
          <w:rFonts w:ascii="Calibri" w:eastAsia="Calibri" w:hAnsi="Calibri" w:cs="Calibri"/>
          <w:b/>
          <w:color w:val="000000"/>
        </w:rPr>
      </w:pPr>
      <w:r w:rsidRPr="0061735C">
        <w:rPr>
          <w:rFonts w:ascii="Calibri" w:eastAsia="Calibri" w:hAnsi="Calibri" w:cs="Calibri"/>
          <w:b/>
          <w:color w:val="000000"/>
        </w:rPr>
        <w:t xml:space="preserve">Schedule </w:t>
      </w:r>
    </w:p>
    <w:tbl>
      <w:tblPr>
        <w:tblStyle w:val="a4"/>
        <w:tblW w:w="9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780"/>
        <w:gridCol w:w="3240"/>
        <w:gridCol w:w="3330"/>
        <w:gridCol w:w="1800"/>
      </w:tblGrid>
      <w:tr w:rsidR="00FD5520" w:rsidRPr="0017166B" w14:paraId="2E68CB3C" w14:textId="77777777" w:rsidTr="00996803">
        <w:tc>
          <w:tcPr>
            <w:tcW w:w="745" w:type="dxa"/>
            <w:vAlign w:val="center"/>
          </w:tcPr>
          <w:p w14:paraId="2654FE4E" w14:textId="77777777" w:rsidR="00FD5520" w:rsidRPr="00895080" w:rsidRDefault="000022E4">
            <w:pPr>
              <w:jc w:val="center"/>
              <w:rPr>
                <w:rFonts w:asciiTheme="majorHAnsi" w:hAnsiTheme="majorHAnsi" w:cstheme="majorHAnsi"/>
                <w:sz w:val="22"/>
                <w:szCs w:val="22"/>
              </w:rPr>
            </w:pPr>
            <w:r w:rsidRPr="00895080">
              <w:rPr>
                <w:rFonts w:asciiTheme="majorHAnsi" w:hAnsiTheme="majorHAnsi" w:cstheme="majorHAnsi"/>
                <w:sz w:val="22"/>
                <w:szCs w:val="22"/>
              </w:rPr>
              <w:t>Week</w:t>
            </w:r>
          </w:p>
        </w:tc>
        <w:tc>
          <w:tcPr>
            <w:tcW w:w="780" w:type="dxa"/>
            <w:vAlign w:val="center"/>
          </w:tcPr>
          <w:p w14:paraId="25ACB5F4" w14:textId="77777777" w:rsidR="00FD5520" w:rsidRPr="00895080" w:rsidRDefault="000022E4">
            <w:pPr>
              <w:jc w:val="center"/>
              <w:rPr>
                <w:rFonts w:asciiTheme="majorHAnsi" w:hAnsiTheme="majorHAnsi" w:cstheme="majorHAnsi"/>
                <w:sz w:val="22"/>
                <w:szCs w:val="22"/>
              </w:rPr>
            </w:pPr>
            <w:r w:rsidRPr="00895080">
              <w:rPr>
                <w:rFonts w:asciiTheme="majorHAnsi" w:hAnsiTheme="majorHAnsi" w:cstheme="majorHAnsi"/>
                <w:sz w:val="22"/>
                <w:szCs w:val="22"/>
              </w:rPr>
              <w:t>Date</w:t>
            </w:r>
          </w:p>
        </w:tc>
        <w:tc>
          <w:tcPr>
            <w:tcW w:w="3240" w:type="dxa"/>
            <w:vAlign w:val="center"/>
          </w:tcPr>
          <w:p w14:paraId="6DCD0D48" w14:textId="77777777" w:rsidR="00FD5520" w:rsidRPr="00895080" w:rsidRDefault="000022E4" w:rsidP="005C530C">
            <w:pPr>
              <w:ind w:right="-113"/>
              <w:jc w:val="center"/>
              <w:rPr>
                <w:rFonts w:asciiTheme="majorHAnsi" w:hAnsiTheme="majorHAnsi" w:cstheme="majorHAnsi"/>
                <w:sz w:val="22"/>
                <w:szCs w:val="22"/>
              </w:rPr>
            </w:pPr>
            <w:r w:rsidRPr="00895080">
              <w:rPr>
                <w:rFonts w:asciiTheme="majorHAnsi" w:hAnsiTheme="majorHAnsi" w:cstheme="majorHAnsi"/>
                <w:sz w:val="22"/>
                <w:szCs w:val="22"/>
              </w:rPr>
              <w:t>Topics</w:t>
            </w:r>
          </w:p>
        </w:tc>
        <w:tc>
          <w:tcPr>
            <w:tcW w:w="3330" w:type="dxa"/>
            <w:vAlign w:val="center"/>
          </w:tcPr>
          <w:p w14:paraId="6E837379" w14:textId="28AF078D" w:rsidR="00FD5520" w:rsidRPr="00895080" w:rsidRDefault="000022E4">
            <w:pPr>
              <w:jc w:val="center"/>
              <w:rPr>
                <w:rFonts w:asciiTheme="majorHAnsi" w:hAnsiTheme="majorHAnsi" w:cstheme="majorHAnsi"/>
                <w:sz w:val="22"/>
                <w:szCs w:val="22"/>
              </w:rPr>
            </w:pPr>
            <w:r w:rsidRPr="00895080">
              <w:rPr>
                <w:rFonts w:asciiTheme="majorHAnsi" w:hAnsiTheme="majorHAnsi" w:cstheme="majorHAnsi"/>
                <w:sz w:val="22"/>
                <w:szCs w:val="22"/>
              </w:rPr>
              <w:t>Readings Due (</w:t>
            </w:r>
            <w:r w:rsidR="003C1601" w:rsidRPr="00895080">
              <w:rPr>
                <w:rFonts w:asciiTheme="majorHAnsi" w:hAnsiTheme="majorHAnsi" w:cstheme="majorHAnsi"/>
                <w:sz w:val="22"/>
                <w:szCs w:val="22"/>
              </w:rPr>
              <w:t>complete</w:t>
            </w:r>
            <w:r w:rsidRPr="00895080">
              <w:rPr>
                <w:rFonts w:asciiTheme="majorHAnsi" w:hAnsiTheme="majorHAnsi" w:cstheme="majorHAnsi"/>
                <w:sz w:val="22"/>
                <w:szCs w:val="22"/>
              </w:rPr>
              <w:t xml:space="preserve"> </w:t>
            </w:r>
            <w:r w:rsidR="003C1601" w:rsidRPr="00895080">
              <w:rPr>
                <w:rFonts w:asciiTheme="majorHAnsi" w:hAnsiTheme="majorHAnsi" w:cstheme="majorHAnsi"/>
                <w:sz w:val="22"/>
                <w:szCs w:val="22"/>
              </w:rPr>
              <w:t>prior to</w:t>
            </w:r>
            <w:r w:rsidRPr="00895080">
              <w:rPr>
                <w:rFonts w:asciiTheme="majorHAnsi" w:hAnsiTheme="majorHAnsi" w:cstheme="majorHAnsi"/>
                <w:sz w:val="22"/>
                <w:szCs w:val="22"/>
              </w:rPr>
              <w:t xml:space="preserve"> class)</w:t>
            </w:r>
          </w:p>
        </w:tc>
        <w:tc>
          <w:tcPr>
            <w:tcW w:w="1800" w:type="dxa"/>
            <w:vAlign w:val="center"/>
          </w:tcPr>
          <w:p w14:paraId="43F1CD96" w14:textId="77777777" w:rsidR="00FD5520" w:rsidRPr="00895080" w:rsidRDefault="000022E4">
            <w:pPr>
              <w:jc w:val="center"/>
              <w:rPr>
                <w:rFonts w:asciiTheme="majorHAnsi" w:hAnsiTheme="majorHAnsi" w:cstheme="majorHAnsi"/>
                <w:sz w:val="22"/>
                <w:szCs w:val="22"/>
              </w:rPr>
            </w:pPr>
            <w:r w:rsidRPr="00895080">
              <w:rPr>
                <w:rFonts w:asciiTheme="majorHAnsi" w:hAnsiTheme="majorHAnsi" w:cstheme="majorHAnsi"/>
                <w:sz w:val="22"/>
                <w:szCs w:val="22"/>
              </w:rPr>
              <w:t>Assignments Due</w:t>
            </w:r>
          </w:p>
        </w:tc>
      </w:tr>
      <w:tr w:rsidR="00FD5520" w:rsidRPr="0017166B" w14:paraId="64FB5B0E" w14:textId="77777777" w:rsidTr="00996803">
        <w:tc>
          <w:tcPr>
            <w:tcW w:w="745" w:type="dxa"/>
          </w:tcPr>
          <w:p w14:paraId="05498B2D" w14:textId="77777777" w:rsidR="00FD5520" w:rsidRPr="00895080" w:rsidRDefault="000022E4">
            <w:pPr>
              <w:jc w:val="center"/>
              <w:rPr>
                <w:rFonts w:asciiTheme="majorHAnsi" w:hAnsiTheme="majorHAnsi" w:cstheme="majorHAnsi"/>
                <w:sz w:val="22"/>
                <w:szCs w:val="22"/>
              </w:rPr>
            </w:pPr>
            <w:r w:rsidRPr="00895080">
              <w:rPr>
                <w:rFonts w:asciiTheme="majorHAnsi" w:hAnsiTheme="majorHAnsi" w:cstheme="majorHAnsi"/>
                <w:sz w:val="22"/>
                <w:szCs w:val="22"/>
              </w:rPr>
              <w:t>1</w:t>
            </w:r>
          </w:p>
        </w:tc>
        <w:tc>
          <w:tcPr>
            <w:tcW w:w="780" w:type="dxa"/>
          </w:tcPr>
          <w:p w14:paraId="7B59E094" w14:textId="1B943B8C" w:rsidR="00FD5520" w:rsidRPr="00895080" w:rsidRDefault="000022E4">
            <w:pPr>
              <w:jc w:val="center"/>
              <w:rPr>
                <w:rFonts w:asciiTheme="majorHAnsi" w:hAnsiTheme="majorHAnsi" w:cstheme="majorHAnsi"/>
                <w:sz w:val="22"/>
                <w:szCs w:val="22"/>
              </w:rPr>
            </w:pPr>
            <w:r w:rsidRPr="00895080">
              <w:rPr>
                <w:rFonts w:asciiTheme="majorHAnsi" w:hAnsiTheme="majorHAnsi" w:cstheme="majorHAnsi"/>
                <w:sz w:val="22"/>
                <w:szCs w:val="22"/>
              </w:rPr>
              <w:t>1/</w:t>
            </w:r>
            <w:r w:rsidR="009E194D" w:rsidRPr="00895080">
              <w:rPr>
                <w:rFonts w:asciiTheme="majorHAnsi" w:hAnsiTheme="majorHAnsi" w:cstheme="majorHAnsi"/>
                <w:sz w:val="22"/>
                <w:szCs w:val="22"/>
              </w:rPr>
              <w:t>12</w:t>
            </w:r>
          </w:p>
        </w:tc>
        <w:tc>
          <w:tcPr>
            <w:tcW w:w="3240" w:type="dxa"/>
          </w:tcPr>
          <w:p w14:paraId="4DCB0117" w14:textId="5211A7BD" w:rsidR="00FD5520" w:rsidRPr="00895080" w:rsidRDefault="000022E4" w:rsidP="00707976">
            <w:pPr>
              <w:ind w:right="-113"/>
              <w:rPr>
                <w:rFonts w:asciiTheme="majorHAnsi" w:hAnsiTheme="majorHAnsi" w:cstheme="majorHAnsi"/>
                <w:sz w:val="22"/>
                <w:szCs w:val="22"/>
              </w:rPr>
            </w:pPr>
            <w:r w:rsidRPr="00895080">
              <w:rPr>
                <w:rFonts w:asciiTheme="majorHAnsi" w:hAnsiTheme="majorHAnsi" w:cstheme="majorHAnsi"/>
                <w:sz w:val="22"/>
                <w:szCs w:val="22"/>
              </w:rPr>
              <w:t>Introduction</w:t>
            </w:r>
            <w:r w:rsidR="009E194D" w:rsidRPr="00895080">
              <w:rPr>
                <w:rFonts w:asciiTheme="majorHAnsi" w:hAnsiTheme="majorHAnsi" w:cstheme="majorHAnsi"/>
                <w:sz w:val="22"/>
                <w:szCs w:val="22"/>
              </w:rPr>
              <w:t xml:space="preserve">, defining “Special Populations;” </w:t>
            </w:r>
            <w:r w:rsidR="00707976" w:rsidRPr="00895080">
              <w:rPr>
                <w:rFonts w:asciiTheme="majorHAnsi" w:hAnsiTheme="majorHAnsi" w:cstheme="majorHAnsi"/>
                <w:sz w:val="22"/>
                <w:szCs w:val="22"/>
              </w:rPr>
              <w:t>IDEA; ADA;</w:t>
            </w:r>
            <w:r w:rsidR="00CE1BB3" w:rsidRPr="00895080">
              <w:rPr>
                <w:rFonts w:asciiTheme="majorHAnsi" w:hAnsiTheme="majorHAnsi" w:cstheme="majorHAnsi"/>
                <w:sz w:val="22"/>
                <w:szCs w:val="22"/>
              </w:rPr>
              <w:t xml:space="preserve"> </w:t>
            </w:r>
            <w:r w:rsidR="00707976" w:rsidRPr="00895080">
              <w:rPr>
                <w:rFonts w:asciiTheme="majorHAnsi" w:hAnsiTheme="majorHAnsi" w:cstheme="majorHAnsi"/>
                <w:sz w:val="22"/>
                <w:szCs w:val="22"/>
              </w:rPr>
              <w:t xml:space="preserve">Intro to PBL; </w:t>
            </w:r>
            <w:r w:rsidR="00CE1BB3" w:rsidRPr="00895080">
              <w:rPr>
                <w:rFonts w:asciiTheme="majorHAnsi" w:hAnsiTheme="majorHAnsi" w:cstheme="majorHAnsi"/>
                <w:sz w:val="22"/>
                <w:szCs w:val="22"/>
              </w:rPr>
              <w:t>PBL #1</w:t>
            </w:r>
          </w:p>
        </w:tc>
        <w:tc>
          <w:tcPr>
            <w:tcW w:w="3330" w:type="dxa"/>
          </w:tcPr>
          <w:p w14:paraId="0ED27805" w14:textId="715B2143" w:rsidR="000D2800" w:rsidRPr="00895080" w:rsidRDefault="009A7558" w:rsidP="000D2800">
            <w:pPr>
              <w:rPr>
                <w:rFonts w:asciiTheme="majorHAnsi" w:hAnsiTheme="majorHAnsi" w:cstheme="majorHAnsi"/>
                <w:sz w:val="22"/>
                <w:szCs w:val="22"/>
              </w:rPr>
            </w:pPr>
            <w:r w:rsidRPr="00895080">
              <w:rPr>
                <w:rFonts w:asciiTheme="majorHAnsi" w:hAnsiTheme="majorHAnsi" w:cstheme="majorHAnsi"/>
                <w:sz w:val="22"/>
                <w:szCs w:val="22"/>
              </w:rPr>
              <w:t xml:space="preserve">Historical, Legal &amp; Ethical &amp; </w:t>
            </w:r>
            <w:r w:rsidR="000D2800" w:rsidRPr="00895080">
              <w:rPr>
                <w:rFonts w:asciiTheme="majorHAnsi" w:hAnsiTheme="majorHAnsi" w:cstheme="majorHAnsi"/>
                <w:sz w:val="22"/>
                <w:szCs w:val="22"/>
              </w:rPr>
              <w:t>Foundations</w:t>
            </w:r>
          </w:p>
          <w:p w14:paraId="5017ED51" w14:textId="1B5F826B" w:rsidR="00DC5C3C" w:rsidRPr="00895080" w:rsidRDefault="00DC5C3C" w:rsidP="00DC5C3C">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Wright &amp; Wright (2007)</w:t>
            </w:r>
          </w:p>
          <w:p w14:paraId="1A729642" w14:textId="28BEC3F5" w:rsidR="00A17EDC" w:rsidRPr="00895080" w:rsidRDefault="00EF1F90" w:rsidP="008C78BD">
            <w:pPr>
              <w:pStyle w:val="ListParagraph"/>
              <w:numPr>
                <w:ilvl w:val="0"/>
                <w:numId w:val="7"/>
              </w:numPr>
              <w:rPr>
                <w:rStyle w:val="Hyperlink"/>
                <w:rFonts w:asciiTheme="majorHAnsi" w:eastAsia="Calibri" w:hAnsiTheme="majorHAnsi" w:cstheme="majorHAnsi"/>
                <w:color w:val="auto"/>
                <w:sz w:val="22"/>
                <w:szCs w:val="22"/>
                <w:u w:val="none"/>
              </w:rPr>
            </w:pPr>
            <w:hyperlink r:id="rId29" w:history="1">
              <w:r w:rsidR="00F62BC7" w:rsidRPr="00895080">
                <w:rPr>
                  <w:rStyle w:val="Hyperlink"/>
                  <w:rFonts w:asciiTheme="majorHAnsi" w:hAnsiTheme="majorHAnsi" w:cstheme="majorHAnsi"/>
                  <w:sz w:val="22"/>
                  <w:szCs w:val="22"/>
                </w:rPr>
                <w:t>APA (2019)</w:t>
              </w:r>
            </w:hyperlink>
            <w:r w:rsidR="00A17EDC" w:rsidRPr="00895080">
              <w:rPr>
                <w:rStyle w:val="Hyperlink"/>
                <w:rFonts w:asciiTheme="majorHAnsi" w:hAnsiTheme="majorHAnsi" w:cstheme="majorHAnsi"/>
                <w:sz w:val="22"/>
                <w:szCs w:val="22"/>
              </w:rPr>
              <w:t xml:space="preserve"> </w:t>
            </w:r>
            <w:r w:rsidR="00A17EDC" w:rsidRPr="00895080">
              <w:rPr>
                <w:rStyle w:val="Hyperlink"/>
                <w:rFonts w:asciiTheme="majorHAnsi" w:hAnsiTheme="majorHAnsi" w:cstheme="majorHAnsi"/>
                <w:color w:val="000000" w:themeColor="text1"/>
                <w:sz w:val="22"/>
                <w:szCs w:val="22"/>
                <w:u w:val="none"/>
              </w:rPr>
              <w:t>– Guidelines</w:t>
            </w:r>
          </w:p>
          <w:p w14:paraId="39705C14" w14:textId="6EC409C1" w:rsidR="00A17EDC" w:rsidRPr="00895080" w:rsidRDefault="00EF1F90" w:rsidP="008C78BD">
            <w:pPr>
              <w:pStyle w:val="ListParagraph"/>
              <w:numPr>
                <w:ilvl w:val="0"/>
                <w:numId w:val="7"/>
              </w:numPr>
              <w:rPr>
                <w:rStyle w:val="Hyperlink"/>
                <w:rFonts w:asciiTheme="majorHAnsi" w:eastAsia="Calibri" w:hAnsiTheme="majorHAnsi" w:cstheme="majorHAnsi"/>
                <w:color w:val="auto"/>
                <w:sz w:val="22"/>
                <w:szCs w:val="22"/>
                <w:u w:val="none"/>
              </w:rPr>
            </w:pPr>
            <w:hyperlink r:id="rId30" w:history="1">
              <w:r w:rsidR="00A17EDC" w:rsidRPr="00895080">
                <w:rPr>
                  <w:rStyle w:val="Hyperlink"/>
                  <w:rFonts w:asciiTheme="majorHAnsi" w:hAnsiTheme="majorHAnsi" w:cstheme="majorHAnsi"/>
                  <w:sz w:val="22"/>
                  <w:szCs w:val="22"/>
                </w:rPr>
                <w:t>APA (2019)</w:t>
              </w:r>
            </w:hyperlink>
            <w:r w:rsidR="00A17EDC" w:rsidRPr="00895080">
              <w:rPr>
                <w:rStyle w:val="Hyperlink"/>
                <w:rFonts w:asciiTheme="majorHAnsi" w:hAnsiTheme="majorHAnsi" w:cstheme="majorHAnsi"/>
                <w:color w:val="000000" w:themeColor="text1"/>
                <w:sz w:val="22"/>
                <w:szCs w:val="22"/>
                <w:u w:val="none"/>
              </w:rPr>
              <w:t xml:space="preserve"> – Policy</w:t>
            </w:r>
          </w:p>
          <w:p w14:paraId="6B32893C" w14:textId="1D932C47" w:rsidR="00F049A5" w:rsidRPr="00895080" w:rsidRDefault="008E40B5" w:rsidP="008C78BD">
            <w:pPr>
              <w:pStyle w:val="ListParagraph"/>
              <w:numPr>
                <w:ilvl w:val="0"/>
                <w:numId w:val="7"/>
              </w:numPr>
              <w:rPr>
                <w:rFonts w:asciiTheme="majorHAnsi" w:eastAsia="Calibri" w:hAnsiTheme="majorHAnsi" w:cstheme="majorHAnsi"/>
                <w:sz w:val="22"/>
                <w:szCs w:val="22"/>
              </w:rPr>
            </w:pPr>
            <w:proofErr w:type="spellStart"/>
            <w:r w:rsidRPr="00895080">
              <w:rPr>
                <w:rStyle w:val="Hyperlink"/>
                <w:rFonts w:asciiTheme="majorHAnsi" w:eastAsia="Calibri" w:hAnsiTheme="majorHAnsi" w:cstheme="majorHAnsi"/>
                <w:color w:val="auto"/>
                <w:sz w:val="22"/>
                <w:szCs w:val="22"/>
                <w:u w:val="none"/>
              </w:rPr>
              <w:t>Kerkhoff</w:t>
            </w:r>
            <w:proofErr w:type="spellEnd"/>
            <w:r w:rsidRPr="00895080">
              <w:rPr>
                <w:rStyle w:val="Hyperlink"/>
                <w:rFonts w:asciiTheme="majorHAnsi" w:eastAsia="Calibri" w:hAnsiTheme="majorHAnsi" w:cstheme="majorHAnsi"/>
                <w:color w:val="auto"/>
                <w:sz w:val="22"/>
                <w:szCs w:val="22"/>
                <w:u w:val="none"/>
              </w:rPr>
              <w:t xml:space="preserve"> &amp; Hanson (2014)</w:t>
            </w:r>
          </w:p>
        </w:tc>
        <w:tc>
          <w:tcPr>
            <w:tcW w:w="1800" w:type="dxa"/>
          </w:tcPr>
          <w:p w14:paraId="5EC8F5F9" w14:textId="77777777" w:rsidR="00FD5520" w:rsidRPr="00895080" w:rsidRDefault="00FD5520">
            <w:pPr>
              <w:rPr>
                <w:rFonts w:asciiTheme="majorHAnsi" w:hAnsiTheme="majorHAnsi" w:cstheme="majorHAnsi"/>
                <w:sz w:val="22"/>
                <w:szCs w:val="22"/>
              </w:rPr>
            </w:pPr>
          </w:p>
          <w:p w14:paraId="04647B32" w14:textId="77777777" w:rsidR="000D2800" w:rsidRPr="00895080" w:rsidRDefault="000D2800">
            <w:pPr>
              <w:rPr>
                <w:rFonts w:asciiTheme="majorHAnsi" w:hAnsiTheme="majorHAnsi" w:cstheme="majorHAnsi"/>
                <w:sz w:val="22"/>
                <w:szCs w:val="22"/>
              </w:rPr>
            </w:pPr>
          </w:p>
          <w:p w14:paraId="0CC7B870" w14:textId="1DD6E656" w:rsidR="000D2800" w:rsidRPr="00895080" w:rsidRDefault="000D2800">
            <w:pPr>
              <w:rPr>
                <w:rFonts w:asciiTheme="majorHAnsi" w:hAnsiTheme="majorHAnsi" w:cstheme="majorHAnsi"/>
                <w:sz w:val="22"/>
                <w:szCs w:val="22"/>
              </w:rPr>
            </w:pPr>
          </w:p>
        </w:tc>
      </w:tr>
      <w:tr w:rsidR="00996803" w:rsidRPr="00996803" w14:paraId="75D49947" w14:textId="77777777" w:rsidTr="00996803">
        <w:tc>
          <w:tcPr>
            <w:tcW w:w="745" w:type="dxa"/>
          </w:tcPr>
          <w:p w14:paraId="7A8A8D03" w14:textId="38FB1B5F" w:rsidR="000D2800" w:rsidRPr="00996803" w:rsidRDefault="000D2800">
            <w:pPr>
              <w:jc w:val="center"/>
              <w:rPr>
                <w:rFonts w:asciiTheme="majorHAnsi" w:hAnsiTheme="majorHAnsi" w:cstheme="majorHAnsi"/>
                <w:color w:val="FF0000"/>
                <w:sz w:val="22"/>
                <w:szCs w:val="22"/>
              </w:rPr>
            </w:pPr>
            <w:r w:rsidRPr="00996803">
              <w:rPr>
                <w:rFonts w:asciiTheme="majorHAnsi" w:hAnsiTheme="majorHAnsi" w:cstheme="majorHAnsi"/>
                <w:color w:val="FF0000"/>
                <w:sz w:val="22"/>
                <w:szCs w:val="22"/>
              </w:rPr>
              <w:t>2</w:t>
            </w:r>
          </w:p>
        </w:tc>
        <w:tc>
          <w:tcPr>
            <w:tcW w:w="780" w:type="dxa"/>
          </w:tcPr>
          <w:p w14:paraId="3050A434" w14:textId="07D32E19" w:rsidR="000D2800" w:rsidRPr="00996803" w:rsidRDefault="000D2800">
            <w:pPr>
              <w:jc w:val="center"/>
              <w:rPr>
                <w:rFonts w:asciiTheme="majorHAnsi" w:hAnsiTheme="majorHAnsi" w:cstheme="majorHAnsi"/>
                <w:color w:val="FF0000"/>
                <w:sz w:val="22"/>
                <w:szCs w:val="22"/>
              </w:rPr>
            </w:pPr>
            <w:r w:rsidRPr="00996803">
              <w:rPr>
                <w:rFonts w:asciiTheme="majorHAnsi" w:hAnsiTheme="majorHAnsi" w:cstheme="majorHAnsi"/>
                <w:color w:val="FF0000"/>
                <w:sz w:val="22"/>
                <w:szCs w:val="22"/>
              </w:rPr>
              <w:t>1/19</w:t>
            </w:r>
          </w:p>
        </w:tc>
        <w:tc>
          <w:tcPr>
            <w:tcW w:w="3240" w:type="dxa"/>
          </w:tcPr>
          <w:p w14:paraId="20B818F6" w14:textId="42F88EF6" w:rsidR="000D2800" w:rsidRPr="00996803" w:rsidRDefault="00DD3ED2" w:rsidP="00050D2E">
            <w:pPr>
              <w:ind w:right="-113"/>
              <w:rPr>
                <w:rFonts w:asciiTheme="majorHAnsi" w:hAnsiTheme="majorHAnsi" w:cstheme="majorHAnsi"/>
                <w:color w:val="FF0000"/>
                <w:sz w:val="22"/>
                <w:szCs w:val="22"/>
              </w:rPr>
            </w:pPr>
            <w:r w:rsidRPr="00996803">
              <w:rPr>
                <w:rFonts w:asciiTheme="majorHAnsi" w:hAnsiTheme="majorHAnsi" w:cstheme="majorHAnsi"/>
                <w:color w:val="000000" w:themeColor="text1"/>
                <w:sz w:val="22"/>
                <w:szCs w:val="22"/>
              </w:rPr>
              <w:t xml:space="preserve">Ax &amp; Tx of </w:t>
            </w:r>
            <w:r w:rsidR="006D79A9" w:rsidRPr="00996803">
              <w:rPr>
                <w:rFonts w:asciiTheme="majorHAnsi" w:hAnsiTheme="majorHAnsi" w:cstheme="majorHAnsi"/>
                <w:color w:val="000000" w:themeColor="text1"/>
                <w:sz w:val="22"/>
                <w:szCs w:val="22"/>
              </w:rPr>
              <w:t xml:space="preserve">Intellectual Disabilities; </w:t>
            </w:r>
            <w:r w:rsidR="0061735C" w:rsidRPr="00996803">
              <w:rPr>
                <w:rFonts w:asciiTheme="majorHAnsi" w:hAnsiTheme="majorHAnsi" w:cstheme="majorHAnsi"/>
                <w:color w:val="000000" w:themeColor="text1"/>
                <w:sz w:val="22"/>
                <w:szCs w:val="22"/>
              </w:rPr>
              <w:t xml:space="preserve">Chromosomal </w:t>
            </w:r>
            <w:r w:rsidR="006D79A9" w:rsidRPr="00996803">
              <w:rPr>
                <w:rFonts w:asciiTheme="majorHAnsi" w:hAnsiTheme="majorHAnsi" w:cstheme="majorHAnsi"/>
                <w:color w:val="000000" w:themeColor="text1"/>
                <w:sz w:val="22"/>
                <w:szCs w:val="22"/>
              </w:rPr>
              <w:t xml:space="preserve">syndromes; assessing </w:t>
            </w:r>
            <w:r w:rsidR="0061735C" w:rsidRPr="00996803">
              <w:rPr>
                <w:rFonts w:asciiTheme="majorHAnsi" w:hAnsiTheme="majorHAnsi" w:cstheme="majorHAnsi"/>
                <w:color w:val="000000" w:themeColor="text1"/>
                <w:sz w:val="22"/>
                <w:szCs w:val="22"/>
              </w:rPr>
              <w:t xml:space="preserve">very low </w:t>
            </w:r>
            <w:r w:rsidR="006D79A9" w:rsidRPr="00996803">
              <w:rPr>
                <w:rFonts w:asciiTheme="majorHAnsi" w:hAnsiTheme="majorHAnsi" w:cstheme="majorHAnsi"/>
                <w:color w:val="000000" w:themeColor="text1"/>
                <w:sz w:val="22"/>
                <w:szCs w:val="22"/>
              </w:rPr>
              <w:t>cognitive abilit</w:t>
            </w:r>
            <w:r w:rsidR="0061735C" w:rsidRPr="00996803">
              <w:rPr>
                <w:rFonts w:asciiTheme="majorHAnsi" w:hAnsiTheme="majorHAnsi" w:cstheme="majorHAnsi"/>
                <w:color w:val="000000" w:themeColor="text1"/>
                <w:sz w:val="22"/>
                <w:szCs w:val="22"/>
              </w:rPr>
              <w:t>ies</w:t>
            </w:r>
            <w:r w:rsidR="006D79A9" w:rsidRPr="00996803">
              <w:rPr>
                <w:rFonts w:asciiTheme="majorHAnsi" w:hAnsiTheme="majorHAnsi" w:cstheme="majorHAnsi"/>
                <w:color w:val="000000" w:themeColor="text1"/>
                <w:sz w:val="22"/>
                <w:szCs w:val="22"/>
              </w:rPr>
              <w:t xml:space="preserve">; </w:t>
            </w:r>
            <w:r w:rsidR="00875316" w:rsidRPr="00996803">
              <w:rPr>
                <w:rFonts w:asciiTheme="majorHAnsi" w:hAnsiTheme="majorHAnsi" w:cstheme="majorHAnsi"/>
                <w:i/>
                <w:color w:val="000000" w:themeColor="text1"/>
                <w:sz w:val="22"/>
                <w:szCs w:val="22"/>
              </w:rPr>
              <w:t xml:space="preserve">S-B-5; </w:t>
            </w:r>
            <w:proofErr w:type="spellStart"/>
            <w:r w:rsidR="006D79A9" w:rsidRPr="00996803">
              <w:rPr>
                <w:rFonts w:asciiTheme="majorHAnsi" w:hAnsiTheme="majorHAnsi" w:cstheme="majorHAnsi"/>
                <w:i/>
                <w:color w:val="000000" w:themeColor="text1"/>
                <w:sz w:val="22"/>
                <w:szCs w:val="22"/>
              </w:rPr>
              <w:t>Callier</w:t>
            </w:r>
            <w:proofErr w:type="spellEnd"/>
            <w:r w:rsidR="006D79A9" w:rsidRPr="00996803">
              <w:rPr>
                <w:rFonts w:asciiTheme="majorHAnsi" w:hAnsiTheme="majorHAnsi" w:cstheme="majorHAnsi"/>
                <w:i/>
                <w:color w:val="000000" w:themeColor="text1"/>
                <w:sz w:val="22"/>
                <w:szCs w:val="22"/>
              </w:rPr>
              <w:t>-Azusa scale</w:t>
            </w:r>
          </w:p>
        </w:tc>
        <w:tc>
          <w:tcPr>
            <w:tcW w:w="3330" w:type="dxa"/>
          </w:tcPr>
          <w:p w14:paraId="51A53107" w14:textId="77777777" w:rsidR="006D79A9" w:rsidRPr="00996803" w:rsidRDefault="006D79A9" w:rsidP="006D79A9">
            <w:pPr>
              <w:ind w:left="720" w:hanging="720"/>
              <w:rPr>
                <w:rFonts w:asciiTheme="majorHAnsi" w:hAnsiTheme="majorHAnsi" w:cstheme="majorHAnsi"/>
                <w:color w:val="000000" w:themeColor="text1"/>
                <w:sz w:val="22"/>
                <w:szCs w:val="22"/>
              </w:rPr>
            </w:pPr>
            <w:r w:rsidRPr="00996803">
              <w:rPr>
                <w:rFonts w:asciiTheme="majorHAnsi" w:hAnsiTheme="majorHAnsi" w:cstheme="majorHAnsi"/>
                <w:color w:val="000000" w:themeColor="text1"/>
                <w:sz w:val="22"/>
                <w:szCs w:val="22"/>
              </w:rPr>
              <w:t>Intellectual Disabilities</w:t>
            </w:r>
          </w:p>
          <w:p w14:paraId="17418A30" w14:textId="62B1E080" w:rsidR="00DC5C3C" w:rsidRPr="00996803" w:rsidRDefault="0061735C" w:rsidP="00DC5C3C">
            <w:pPr>
              <w:pStyle w:val="ListParagraph"/>
              <w:numPr>
                <w:ilvl w:val="0"/>
                <w:numId w:val="7"/>
              </w:numPr>
              <w:rPr>
                <w:rFonts w:asciiTheme="majorHAnsi" w:eastAsia="Calibri" w:hAnsiTheme="majorHAnsi" w:cstheme="majorHAnsi"/>
                <w:color w:val="000000" w:themeColor="text1"/>
                <w:sz w:val="22"/>
                <w:szCs w:val="22"/>
              </w:rPr>
            </w:pPr>
            <w:proofErr w:type="spellStart"/>
            <w:r w:rsidRPr="00996803">
              <w:rPr>
                <w:rFonts w:asciiTheme="majorHAnsi" w:eastAsia="Calibri" w:hAnsiTheme="majorHAnsi" w:cstheme="majorHAnsi"/>
                <w:color w:val="000000" w:themeColor="text1"/>
                <w:sz w:val="22"/>
                <w:szCs w:val="22"/>
              </w:rPr>
              <w:t>Kamphaus</w:t>
            </w:r>
            <w:proofErr w:type="spellEnd"/>
            <w:r w:rsidRPr="00996803">
              <w:rPr>
                <w:rFonts w:asciiTheme="majorHAnsi" w:eastAsia="Calibri" w:hAnsiTheme="majorHAnsi" w:cstheme="majorHAnsi"/>
                <w:color w:val="000000" w:themeColor="text1"/>
                <w:sz w:val="22"/>
                <w:szCs w:val="22"/>
              </w:rPr>
              <w:t xml:space="preserve"> &amp; Walden (2020)</w:t>
            </w:r>
          </w:p>
          <w:p w14:paraId="7B06A0D1" w14:textId="03F0BA16" w:rsidR="000D2800" w:rsidRPr="00996803" w:rsidRDefault="00EF1F90" w:rsidP="0061735C">
            <w:pPr>
              <w:pStyle w:val="ListParagraph"/>
              <w:numPr>
                <w:ilvl w:val="0"/>
                <w:numId w:val="7"/>
              </w:numPr>
              <w:rPr>
                <w:rFonts w:asciiTheme="majorHAnsi" w:eastAsia="Calibri" w:hAnsiTheme="majorHAnsi" w:cstheme="majorHAnsi"/>
                <w:color w:val="7030A0"/>
                <w:sz w:val="22"/>
                <w:szCs w:val="22"/>
              </w:rPr>
            </w:pPr>
            <w:hyperlink r:id="rId31" w:history="1">
              <w:r w:rsidR="0079329A" w:rsidRPr="00996803">
                <w:rPr>
                  <w:rStyle w:val="Hyperlink"/>
                  <w:rFonts w:asciiTheme="majorHAnsi" w:eastAsia="Calibri" w:hAnsiTheme="majorHAnsi" w:cstheme="majorHAnsi"/>
                  <w:color w:val="7030A0"/>
                  <w:sz w:val="22"/>
                  <w:szCs w:val="22"/>
                </w:rPr>
                <w:t>Kennedy Krieger Institute</w:t>
              </w:r>
            </w:hyperlink>
            <w:r w:rsidR="00DC5C3C" w:rsidRPr="00996803">
              <w:rPr>
                <w:rFonts w:asciiTheme="majorHAnsi" w:eastAsia="Calibri" w:hAnsiTheme="majorHAnsi" w:cstheme="majorHAnsi"/>
                <w:color w:val="7030A0"/>
                <w:sz w:val="22"/>
                <w:szCs w:val="22"/>
              </w:rPr>
              <w:t xml:space="preserve"> </w:t>
            </w:r>
          </w:p>
          <w:p w14:paraId="5F58D2F1" w14:textId="45ABC070" w:rsidR="0061735C" w:rsidRPr="00996803" w:rsidRDefault="00042C91" w:rsidP="0061735C">
            <w:pPr>
              <w:pStyle w:val="ListParagraph"/>
              <w:numPr>
                <w:ilvl w:val="0"/>
                <w:numId w:val="7"/>
              </w:numPr>
              <w:rPr>
                <w:rFonts w:asciiTheme="majorHAnsi" w:eastAsia="Calibri" w:hAnsiTheme="majorHAnsi" w:cstheme="majorHAnsi"/>
                <w:color w:val="000000" w:themeColor="text1"/>
                <w:sz w:val="22"/>
                <w:szCs w:val="22"/>
              </w:rPr>
            </w:pPr>
            <w:r w:rsidRPr="00996803">
              <w:rPr>
                <w:rFonts w:asciiTheme="majorHAnsi" w:eastAsia="Calibri" w:hAnsiTheme="majorHAnsi" w:cstheme="majorHAnsi"/>
                <w:color w:val="000000" w:themeColor="text1"/>
                <w:sz w:val="22"/>
                <w:szCs w:val="22"/>
              </w:rPr>
              <w:t>Simon</w:t>
            </w:r>
            <w:r w:rsidR="00B412C5" w:rsidRPr="00996803">
              <w:rPr>
                <w:rFonts w:asciiTheme="majorHAnsi" w:eastAsia="Calibri" w:hAnsiTheme="majorHAnsi" w:cstheme="majorHAnsi"/>
                <w:color w:val="000000" w:themeColor="text1"/>
                <w:sz w:val="22"/>
                <w:szCs w:val="22"/>
              </w:rPr>
              <w:t xml:space="preserve"> </w:t>
            </w:r>
            <w:r w:rsidRPr="00996803">
              <w:rPr>
                <w:rFonts w:asciiTheme="majorHAnsi" w:eastAsia="Calibri" w:hAnsiTheme="majorHAnsi" w:cstheme="majorHAnsi"/>
                <w:color w:val="000000" w:themeColor="text1"/>
                <w:sz w:val="22"/>
                <w:szCs w:val="22"/>
              </w:rPr>
              <w:t>(2007)</w:t>
            </w:r>
          </w:p>
          <w:p w14:paraId="51A26670" w14:textId="24B00491" w:rsidR="00042C91" w:rsidRPr="00996803" w:rsidRDefault="00042C91" w:rsidP="0061735C">
            <w:pPr>
              <w:pStyle w:val="ListParagraph"/>
              <w:numPr>
                <w:ilvl w:val="0"/>
                <w:numId w:val="7"/>
              </w:numPr>
              <w:rPr>
                <w:rFonts w:asciiTheme="majorHAnsi" w:eastAsia="Calibri" w:hAnsiTheme="majorHAnsi" w:cstheme="majorHAnsi"/>
                <w:color w:val="FF0000"/>
                <w:sz w:val="22"/>
                <w:szCs w:val="22"/>
              </w:rPr>
            </w:pPr>
            <w:r w:rsidRPr="00996803">
              <w:rPr>
                <w:rFonts w:asciiTheme="majorHAnsi" w:eastAsia="Calibri" w:hAnsiTheme="majorHAnsi" w:cstheme="majorHAnsi"/>
                <w:color w:val="000000" w:themeColor="text1"/>
                <w:sz w:val="22"/>
                <w:szCs w:val="22"/>
              </w:rPr>
              <w:t>Sue et al. (2019)</w:t>
            </w:r>
          </w:p>
        </w:tc>
        <w:tc>
          <w:tcPr>
            <w:tcW w:w="1800" w:type="dxa"/>
          </w:tcPr>
          <w:p w14:paraId="5E40C50E" w14:textId="64A88F15" w:rsidR="000D2800" w:rsidRPr="00996803" w:rsidRDefault="00996803">
            <w:pPr>
              <w:rPr>
                <w:rFonts w:asciiTheme="majorHAnsi" w:hAnsiTheme="majorHAnsi" w:cstheme="majorHAnsi"/>
                <w:color w:val="FF0000"/>
                <w:sz w:val="22"/>
                <w:szCs w:val="22"/>
              </w:rPr>
            </w:pPr>
            <w:r>
              <w:rPr>
                <w:rFonts w:asciiTheme="majorHAnsi" w:hAnsiTheme="majorHAnsi" w:cstheme="majorHAnsi"/>
                <w:color w:val="FF0000"/>
                <w:sz w:val="22"/>
                <w:szCs w:val="22"/>
              </w:rPr>
              <w:t>ON CAMPUS</w:t>
            </w:r>
          </w:p>
        </w:tc>
      </w:tr>
      <w:tr w:rsidR="000D2800" w:rsidRPr="0017166B" w14:paraId="4C6B254D" w14:textId="77777777" w:rsidTr="00996803">
        <w:tc>
          <w:tcPr>
            <w:tcW w:w="745" w:type="dxa"/>
          </w:tcPr>
          <w:p w14:paraId="4EEC8DFB" w14:textId="4EBAFF93"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lastRenderedPageBreak/>
              <w:t>3</w:t>
            </w:r>
          </w:p>
        </w:tc>
        <w:tc>
          <w:tcPr>
            <w:tcW w:w="780" w:type="dxa"/>
          </w:tcPr>
          <w:p w14:paraId="640FC035" w14:textId="2CAF62CD"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1/26</w:t>
            </w:r>
          </w:p>
        </w:tc>
        <w:tc>
          <w:tcPr>
            <w:tcW w:w="3240" w:type="dxa"/>
          </w:tcPr>
          <w:p w14:paraId="4B4D8BEB" w14:textId="022C3530" w:rsidR="000D2800" w:rsidRPr="00895080" w:rsidRDefault="006D79A9" w:rsidP="005C530C">
            <w:pPr>
              <w:ind w:right="-113"/>
              <w:rPr>
                <w:rFonts w:asciiTheme="majorHAnsi" w:hAnsiTheme="majorHAnsi" w:cstheme="majorHAnsi"/>
                <w:sz w:val="22"/>
                <w:szCs w:val="22"/>
              </w:rPr>
            </w:pPr>
            <w:r w:rsidRPr="00895080">
              <w:rPr>
                <w:rFonts w:asciiTheme="majorHAnsi" w:hAnsiTheme="majorHAnsi" w:cstheme="majorHAnsi"/>
                <w:sz w:val="22"/>
                <w:szCs w:val="22"/>
              </w:rPr>
              <w:t xml:space="preserve">PBL #1 – LI presentations; </w:t>
            </w:r>
            <w:r w:rsidR="00DD3ED2" w:rsidRPr="00895080">
              <w:rPr>
                <w:rFonts w:asciiTheme="majorHAnsi" w:hAnsiTheme="majorHAnsi" w:cstheme="majorHAnsi"/>
                <w:sz w:val="22"/>
                <w:szCs w:val="22"/>
              </w:rPr>
              <w:t>Ax and Tx of Blindness</w:t>
            </w:r>
            <w:r w:rsidR="00A94FF2" w:rsidRPr="00895080">
              <w:rPr>
                <w:rFonts w:asciiTheme="majorHAnsi" w:hAnsiTheme="majorHAnsi" w:cstheme="majorHAnsi"/>
                <w:sz w:val="22"/>
                <w:szCs w:val="22"/>
              </w:rPr>
              <w:t xml:space="preserve">; </w:t>
            </w:r>
            <w:hyperlink r:id="rId32" w:history="1">
              <w:proofErr w:type="spellStart"/>
              <w:r w:rsidR="00A94FF2" w:rsidRPr="00895080">
                <w:rPr>
                  <w:rStyle w:val="Hyperlink"/>
                  <w:rFonts w:asciiTheme="majorHAnsi" w:hAnsiTheme="majorHAnsi" w:cstheme="majorHAnsi"/>
                  <w:i/>
                  <w:sz w:val="22"/>
                  <w:szCs w:val="22"/>
                </w:rPr>
                <w:t>Slosson</w:t>
              </w:r>
              <w:proofErr w:type="spellEnd"/>
              <w:r w:rsidR="00A94FF2" w:rsidRPr="00895080">
                <w:rPr>
                  <w:rStyle w:val="Hyperlink"/>
                  <w:rFonts w:asciiTheme="majorHAnsi" w:hAnsiTheme="majorHAnsi" w:cstheme="majorHAnsi"/>
                  <w:i/>
                  <w:sz w:val="22"/>
                  <w:szCs w:val="22"/>
                </w:rPr>
                <w:t>-IV</w:t>
              </w:r>
            </w:hyperlink>
          </w:p>
        </w:tc>
        <w:tc>
          <w:tcPr>
            <w:tcW w:w="3330" w:type="dxa"/>
          </w:tcPr>
          <w:p w14:paraId="6527DF1E" w14:textId="77777777" w:rsidR="000D2800" w:rsidRPr="00895080" w:rsidRDefault="00DC5C3C" w:rsidP="000D2800">
            <w:pPr>
              <w:rPr>
                <w:rFonts w:asciiTheme="majorHAnsi" w:hAnsiTheme="majorHAnsi" w:cstheme="majorHAnsi"/>
                <w:sz w:val="22"/>
                <w:szCs w:val="22"/>
              </w:rPr>
            </w:pPr>
            <w:r w:rsidRPr="00895080">
              <w:rPr>
                <w:rFonts w:asciiTheme="majorHAnsi" w:hAnsiTheme="majorHAnsi" w:cstheme="majorHAnsi"/>
                <w:sz w:val="22"/>
                <w:szCs w:val="22"/>
              </w:rPr>
              <w:t>Blindness</w:t>
            </w:r>
          </w:p>
          <w:p w14:paraId="45A76EC5" w14:textId="52A20639" w:rsidR="0061735C" w:rsidRPr="00895080" w:rsidRDefault="00A94FF2" w:rsidP="0061735C">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Mazella</w:t>
            </w:r>
            <w:proofErr w:type="spellEnd"/>
            <w:r w:rsidRPr="00895080">
              <w:rPr>
                <w:rFonts w:asciiTheme="majorHAnsi" w:eastAsia="Calibri" w:hAnsiTheme="majorHAnsi" w:cstheme="majorHAnsi"/>
                <w:sz w:val="22"/>
                <w:szCs w:val="22"/>
              </w:rPr>
              <w:t xml:space="preserv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0061735C" w:rsidRPr="00895080">
              <w:rPr>
                <w:rFonts w:asciiTheme="majorHAnsi" w:eastAsia="Calibri" w:hAnsiTheme="majorHAnsi" w:cstheme="majorHAnsi"/>
                <w:sz w:val="22"/>
                <w:szCs w:val="22"/>
              </w:rPr>
              <w:t>(</w:t>
            </w:r>
            <w:proofErr w:type="gramEnd"/>
            <w:r w:rsidR="0061735C" w:rsidRPr="00895080">
              <w:rPr>
                <w:rFonts w:asciiTheme="majorHAnsi" w:eastAsia="Calibri" w:hAnsiTheme="majorHAnsi" w:cstheme="majorHAnsi"/>
                <w:sz w:val="22"/>
                <w:szCs w:val="22"/>
              </w:rPr>
              <w:t>20</w:t>
            </w:r>
            <w:r w:rsidRPr="00895080">
              <w:rPr>
                <w:rFonts w:asciiTheme="majorHAnsi" w:eastAsia="Calibri" w:hAnsiTheme="majorHAnsi" w:cstheme="majorHAnsi"/>
                <w:sz w:val="22"/>
                <w:szCs w:val="22"/>
              </w:rPr>
              <w:t>14</w:t>
            </w:r>
            <w:r w:rsidR="0061735C" w:rsidRPr="00895080">
              <w:rPr>
                <w:rFonts w:asciiTheme="majorHAnsi" w:eastAsia="Calibri" w:hAnsiTheme="majorHAnsi" w:cstheme="majorHAnsi"/>
                <w:sz w:val="22"/>
                <w:szCs w:val="22"/>
              </w:rPr>
              <w:t>)</w:t>
            </w:r>
          </w:p>
          <w:p w14:paraId="78FD87F7" w14:textId="2DF36BA6" w:rsidR="00C05BB1" w:rsidRPr="00895080" w:rsidRDefault="00A94FF2" w:rsidP="00C05BB1">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Silverman &amp; Bell</w:t>
            </w:r>
            <w:r w:rsidR="0061735C" w:rsidRPr="00895080">
              <w:rPr>
                <w:rFonts w:asciiTheme="majorHAnsi" w:eastAsia="Calibri" w:hAnsiTheme="majorHAnsi" w:cstheme="majorHAnsi"/>
                <w:sz w:val="22"/>
                <w:szCs w:val="22"/>
              </w:rPr>
              <w:t xml:space="preserve"> (20</w:t>
            </w:r>
            <w:r w:rsidRPr="00895080">
              <w:rPr>
                <w:rFonts w:asciiTheme="majorHAnsi" w:eastAsia="Calibri" w:hAnsiTheme="majorHAnsi" w:cstheme="majorHAnsi"/>
                <w:sz w:val="22"/>
                <w:szCs w:val="22"/>
              </w:rPr>
              <w:t>18</w:t>
            </w:r>
            <w:r w:rsidR="0061735C" w:rsidRPr="00895080">
              <w:rPr>
                <w:rFonts w:asciiTheme="majorHAnsi" w:eastAsia="Calibri" w:hAnsiTheme="majorHAnsi" w:cstheme="majorHAnsi"/>
                <w:sz w:val="22"/>
                <w:szCs w:val="22"/>
              </w:rPr>
              <w:t>)</w:t>
            </w:r>
          </w:p>
        </w:tc>
        <w:tc>
          <w:tcPr>
            <w:tcW w:w="1800" w:type="dxa"/>
          </w:tcPr>
          <w:p w14:paraId="31560784" w14:textId="20D4B5E4" w:rsidR="000D2800" w:rsidRPr="00895080" w:rsidRDefault="006D79A9">
            <w:pPr>
              <w:rPr>
                <w:rFonts w:asciiTheme="majorHAnsi" w:hAnsiTheme="majorHAnsi" w:cstheme="majorHAnsi"/>
                <w:sz w:val="22"/>
                <w:szCs w:val="22"/>
              </w:rPr>
            </w:pPr>
            <w:r w:rsidRPr="00895080">
              <w:rPr>
                <w:rFonts w:asciiTheme="majorHAnsi" w:hAnsiTheme="majorHAnsi" w:cstheme="majorHAnsi"/>
                <w:sz w:val="22"/>
                <w:szCs w:val="22"/>
              </w:rPr>
              <w:t xml:space="preserve">LI </w:t>
            </w:r>
            <w:r w:rsidR="00DC5C3C" w:rsidRPr="00895080">
              <w:rPr>
                <w:rFonts w:asciiTheme="majorHAnsi" w:hAnsiTheme="majorHAnsi" w:cstheme="majorHAnsi"/>
                <w:sz w:val="22"/>
                <w:szCs w:val="22"/>
              </w:rPr>
              <w:t xml:space="preserve">#1 </w:t>
            </w:r>
            <w:r w:rsidRPr="00895080">
              <w:rPr>
                <w:rFonts w:asciiTheme="majorHAnsi" w:hAnsiTheme="majorHAnsi" w:cstheme="majorHAnsi"/>
                <w:sz w:val="22"/>
                <w:szCs w:val="22"/>
              </w:rPr>
              <w:t>write-ups</w:t>
            </w:r>
          </w:p>
        </w:tc>
      </w:tr>
      <w:tr w:rsidR="000D2800" w:rsidRPr="0017166B" w14:paraId="0D17E9F8" w14:textId="77777777" w:rsidTr="00996803">
        <w:tc>
          <w:tcPr>
            <w:tcW w:w="745" w:type="dxa"/>
          </w:tcPr>
          <w:p w14:paraId="2C0B48A0" w14:textId="76EB86DC" w:rsidR="000D2800" w:rsidRPr="00996803" w:rsidRDefault="000D2800">
            <w:pPr>
              <w:jc w:val="center"/>
              <w:rPr>
                <w:rFonts w:asciiTheme="majorHAnsi" w:hAnsiTheme="majorHAnsi" w:cstheme="majorHAnsi"/>
                <w:color w:val="FF0000"/>
                <w:sz w:val="22"/>
                <w:szCs w:val="22"/>
              </w:rPr>
            </w:pPr>
            <w:r w:rsidRPr="00996803">
              <w:rPr>
                <w:rFonts w:asciiTheme="majorHAnsi" w:hAnsiTheme="majorHAnsi" w:cstheme="majorHAnsi"/>
                <w:color w:val="FF0000"/>
                <w:sz w:val="22"/>
                <w:szCs w:val="22"/>
              </w:rPr>
              <w:t>4</w:t>
            </w:r>
          </w:p>
        </w:tc>
        <w:tc>
          <w:tcPr>
            <w:tcW w:w="780" w:type="dxa"/>
          </w:tcPr>
          <w:p w14:paraId="47EDF2BF" w14:textId="052B36E6" w:rsidR="000D2800" w:rsidRPr="00996803" w:rsidRDefault="000D2800">
            <w:pPr>
              <w:jc w:val="center"/>
              <w:rPr>
                <w:rFonts w:asciiTheme="majorHAnsi" w:hAnsiTheme="majorHAnsi" w:cstheme="majorHAnsi"/>
                <w:color w:val="FF0000"/>
                <w:sz w:val="22"/>
                <w:szCs w:val="22"/>
              </w:rPr>
            </w:pPr>
            <w:r w:rsidRPr="00996803">
              <w:rPr>
                <w:rFonts w:asciiTheme="majorHAnsi" w:hAnsiTheme="majorHAnsi" w:cstheme="majorHAnsi"/>
                <w:color w:val="FF0000"/>
                <w:sz w:val="22"/>
                <w:szCs w:val="22"/>
              </w:rPr>
              <w:t>2/2</w:t>
            </w:r>
          </w:p>
        </w:tc>
        <w:tc>
          <w:tcPr>
            <w:tcW w:w="3240" w:type="dxa"/>
          </w:tcPr>
          <w:p w14:paraId="0E867450" w14:textId="2CD7D521" w:rsidR="000D2800" w:rsidRPr="00895080" w:rsidRDefault="005C530C" w:rsidP="005C530C">
            <w:pPr>
              <w:ind w:right="-113"/>
              <w:rPr>
                <w:rFonts w:asciiTheme="majorHAnsi" w:hAnsiTheme="majorHAnsi" w:cstheme="majorHAnsi"/>
                <w:sz w:val="22"/>
                <w:szCs w:val="22"/>
              </w:rPr>
            </w:pPr>
            <w:r w:rsidRPr="00895080">
              <w:rPr>
                <w:rFonts w:asciiTheme="majorHAnsi" w:hAnsiTheme="majorHAnsi" w:cstheme="majorHAnsi"/>
                <w:sz w:val="22"/>
                <w:szCs w:val="22"/>
              </w:rPr>
              <w:t xml:space="preserve">Ax &amp; Tx of </w:t>
            </w:r>
            <w:r w:rsidR="00DC5C3C" w:rsidRPr="00895080">
              <w:rPr>
                <w:rFonts w:asciiTheme="majorHAnsi" w:hAnsiTheme="majorHAnsi" w:cstheme="majorHAnsi"/>
                <w:sz w:val="22"/>
                <w:szCs w:val="22"/>
              </w:rPr>
              <w:t xml:space="preserve">Deaf or Hard of Hearing; </w:t>
            </w:r>
            <w:r w:rsidRPr="00895080">
              <w:rPr>
                <w:rFonts w:asciiTheme="majorHAnsi" w:hAnsiTheme="majorHAnsi" w:cstheme="majorHAnsi"/>
                <w:sz w:val="22"/>
                <w:szCs w:val="22"/>
              </w:rPr>
              <w:t xml:space="preserve">Foundational Cog Skills; </w:t>
            </w:r>
            <w:r w:rsidR="00DC5C3C" w:rsidRPr="00895080">
              <w:rPr>
                <w:rFonts w:asciiTheme="majorHAnsi" w:hAnsiTheme="majorHAnsi" w:cstheme="majorHAnsi"/>
                <w:sz w:val="22"/>
                <w:szCs w:val="22"/>
              </w:rPr>
              <w:t xml:space="preserve">Nonverbal </w:t>
            </w:r>
            <w:r w:rsidRPr="00895080">
              <w:rPr>
                <w:rFonts w:asciiTheme="majorHAnsi" w:hAnsiTheme="majorHAnsi" w:cstheme="majorHAnsi"/>
                <w:sz w:val="22"/>
                <w:szCs w:val="22"/>
              </w:rPr>
              <w:t>Ax</w:t>
            </w:r>
            <w:r w:rsidR="00C05BB1" w:rsidRPr="00895080">
              <w:rPr>
                <w:rFonts w:asciiTheme="majorHAnsi" w:hAnsiTheme="majorHAnsi" w:cstheme="majorHAnsi"/>
                <w:sz w:val="22"/>
                <w:szCs w:val="22"/>
              </w:rPr>
              <w:t>;</w:t>
            </w:r>
            <w:r w:rsidR="00A45D7E" w:rsidRPr="00895080">
              <w:rPr>
                <w:rFonts w:asciiTheme="majorHAnsi" w:hAnsiTheme="majorHAnsi" w:cstheme="majorHAnsi"/>
                <w:sz w:val="22"/>
                <w:szCs w:val="22"/>
              </w:rPr>
              <w:t xml:space="preserve"> </w:t>
            </w:r>
            <w:r w:rsidR="00A45D7E" w:rsidRPr="00895080">
              <w:rPr>
                <w:rFonts w:asciiTheme="majorHAnsi" w:hAnsiTheme="majorHAnsi" w:cstheme="majorHAnsi"/>
                <w:i/>
                <w:sz w:val="22"/>
                <w:szCs w:val="22"/>
              </w:rPr>
              <w:t>Smith-Johnson</w:t>
            </w:r>
            <w:r w:rsidR="00A45D7E" w:rsidRPr="00895080">
              <w:rPr>
                <w:rFonts w:asciiTheme="majorHAnsi" w:hAnsiTheme="majorHAnsi" w:cstheme="majorHAnsi"/>
                <w:sz w:val="22"/>
                <w:szCs w:val="22"/>
              </w:rPr>
              <w:t>,</w:t>
            </w:r>
            <w:r w:rsidR="00C05BB1" w:rsidRPr="00895080">
              <w:rPr>
                <w:rFonts w:asciiTheme="majorHAnsi" w:hAnsiTheme="majorHAnsi" w:cstheme="majorHAnsi"/>
                <w:sz w:val="22"/>
                <w:szCs w:val="22"/>
              </w:rPr>
              <w:t xml:space="preserve"> </w:t>
            </w:r>
            <w:r w:rsidR="00C05BB1" w:rsidRPr="00895080">
              <w:rPr>
                <w:rFonts w:asciiTheme="majorHAnsi" w:hAnsiTheme="majorHAnsi" w:cstheme="majorHAnsi"/>
                <w:i/>
                <w:sz w:val="22"/>
                <w:szCs w:val="22"/>
              </w:rPr>
              <w:t>C</w:t>
            </w:r>
            <w:r w:rsidRPr="00895080">
              <w:rPr>
                <w:rFonts w:asciiTheme="majorHAnsi" w:hAnsiTheme="majorHAnsi" w:cstheme="majorHAnsi"/>
                <w:i/>
                <w:sz w:val="22"/>
                <w:szCs w:val="22"/>
              </w:rPr>
              <w:t>-TONI</w:t>
            </w:r>
            <w:r w:rsidRPr="00895080">
              <w:rPr>
                <w:rFonts w:asciiTheme="majorHAnsi" w:hAnsiTheme="majorHAnsi" w:cstheme="majorHAnsi"/>
                <w:sz w:val="22"/>
                <w:szCs w:val="22"/>
              </w:rPr>
              <w:t xml:space="preserve">, </w:t>
            </w:r>
            <w:r w:rsidRPr="00895080">
              <w:rPr>
                <w:rFonts w:asciiTheme="majorHAnsi" w:hAnsiTheme="majorHAnsi" w:cstheme="majorHAnsi"/>
                <w:i/>
                <w:sz w:val="22"/>
                <w:szCs w:val="22"/>
              </w:rPr>
              <w:t>Leiter-3</w:t>
            </w:r>
          </w:p>
        </w:tc>
        <w:tc>
          <w:tcPr>
            <w:tcW w:w="3330" w:type="dxa"/>
          </w:tcPr>
          <w:p w14:paraId="66C9AA80" w14:textId="77777777" w:rsidR="000D2800" w:rsidRPr="00895080" w:rsidRDefault="00DC5C3C" w:rsidP="000D2800">
            <w:pPr>
              <w:rPr>
                <w:rFonts w:asciiTheme="majorHAnsi" w:hAnsiTheme="majorHAnsi" w:cstheme="majorHAnsi"/>
                <w:sz w:val="22"/>
                <w:szCs w:val="22"/>
              </w:rPr>
            </w:pPr>
            <w:r w:rsidRPr="00895080">
              <w:rPr>
                <w:rFonts w:asciiTheme="majorHAnsi" w:hAnsiTheme="majorHAnsi" w:cstheme="majorHAnsi"/>
                <w:sz w:val="22"/>
                <w:szCs w:val="22"/>
              </w:rPr>
              <w:t xml:space="preserve">Deaf or Hard of Hearing </w:t>
            </w:r>
          </w:p>
          <w:p w14:paraId="374FF0C4" w14:textId="75CB1ECB" w:rsidR="00C05BB1" w:rsidRPr="00895080" w:rsidRDefault="00C05BB1" w:rsidP="00C05BB1">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Crump &amp; </w:t>
            </w:r>
            <w:proofErr w:type="spellStart"/>
            <w:r w:rsidRPr="00895080">
              <w:rPr>
                <w:rFonts w:asciiTheme="majorHAnsi" w:eastAsia="Calibri" w:hAnsiTheme="majorHAnsi" w:cstheme="majorHAnsi"/>
                <w:sz w:val="22"/>
                <w:szCs w:val="22"/>
              </w:rPr>
              <w:t>Hamerdinger</w:t>
            </w:r>
            <w:proofErr w:type="spellEnd"/>
            <w:r w:rsidRPr="00895080">
              <w:rPr>
                <w:rFonts w:asciiTheme="majorHAnsi" w:eastAsia="Calibri" w:hAnsiTheme="majorHAnsi" w:cstheme="majorHAnsi"/>
                <w:sz w:val="22"/>
                <w:szCs w:val="22"/>
              </w:rPr>
              <w:t xml:space="preserve"> (2017)</w:t>
            </w:r>
          </w:p>
          <w:p w14:paraId="22043384" w14:textId="77777777" w:rsidR="00C05BB1" w:rsidRPr="00895080" w:rsidRDefault="00C05BB1" w:rsidP="00C05BB1">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Pollard (1996)</w:t>
            </w:r>
          </w:p>
          <w:p w14:paraId="5728DC41" w14:textId="2CD5A175" w:rsidR="00C05BB1" w:rsidRPr="00895080" w:rsidRDefault="00C05BB1" w:rsidP="00C05BB1">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Sattler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2006)</w:t>
            </w:r>
          </w:p>
        </w:tc>
        <w:tc>
          <w:tcPr>
            <w:tcW w:w="1800" w:type="dxa"/>
          </w:tcPr>
          <w:p w14:paraId="5596967C" w14:textId="5942DAC9" w:rsidR="000D2800" w:rsidRPr="00895080" w:rsidRDefault="00996803">
            <w:pPr>
              <w:rPr>
                <w:rFonts w:asciiTheme="majorHAnsi" w:hAnsiTheme="majorHAnsi" w:cstheme="majorHAnsi"/>
                <w:sz w:val="22"/>
                <w:szCs w:val="22"/>
              </w:rPr>
            </w:pPr>
            <w:r w:rsidRPr="00996803">
              <w:rPr>
                <w:rFonts w:asciiTheme="majorHAnsi" w:hAnsiTheme="majorHAnsi" w:cstheme="majorHAnsi"/>
                <w:color w:val="FF0000"/>
                <w:sz w:val="22"/>
                <w:szCs w:val="22"/>
              </w:rPr>
              <w:t>ON CAMPUS</w:t>
            </w:r>
          </w:p>
        </w:tc>
      </w:tr>
      <w:tr w:rsidR="000D2800" w:rsidRPr="0017166B" w14:paraId="2DCE75A8" w14:textId="77777777" w:rsidTr="00996803">
        <w:tc>
          <w:tcPr>
            <w:tcW w:w="745" w:type="dxa"/>
          </w:tcPr>
          <w:p w14:paraId="19675464" w14:textId="3A0E2A6E"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5</w:t>
            </w:r>
          </w:p>
        </w:tc>
        <w:tc>
          <w:tcPr>
            <w:tcW w:w="780" w:type="dxa"/>
          </w:tcPr>
          <w:p w14:paraId="2C1D5107" w14:textId="7CA59331"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2/9</w:t>
            </w:r>
          </w:p>
        </w:tc>
        <w:tc>
          <w:tcPr>
            <w:tcW w:w="3240" w:type="dxa"/>
          </w:tcPr>
          <w:p w14:paraId="7BBA4511" w14:textId="22E5FE1A" w:rsidR="000D2800" w:rsidRPr="00895080" w:rsidRDefault="005C530C" w:rsidP="005C530C">
            <w:pPr>
              <w:ind w:right="-113"/>
              <w:rPr>
                <w:rFonts w:asciiTheme="majorHAnsi" w:hAnsiTheme="majorHAnsi" w:cstheme="majorHAnsi"/>
                <w:sz w:val="22"/>
                <w:szCs w:val="22"/>
              </w:rPr>
            </w:pPr>
            <w:r w:rsidRPr="00895080">
              <w:rPr>
                <w:rFonts w:asciiTheme="majorHAnsi" w:hAnsiTheme="majorHAnsi" w:cstheme="majorHAnsi"/>
                <w:sz w:val="22"/>
                <w:szCs w:val="22"/>
              </w:rPr>
              <w:t>Ax &amp; Tx of Deaf/Blind;</w:t>
            </w:r>
            <w:r w:rsidR="00050D2E" w:rsidRPr="00895080">
              <w:rPr>
                <w:rFonts w:asciiTheme="majorHAnsi" w:hAnsiTheme="majorHAnsi" w:cstheme="majorHAnsi"/>
                <w:sz w:val="22"/>
                <w:szCs w:val="22"/>
              </w:rPr>
              <w:t xml:space="preserve"> Ax adaptations; </w:t>
            </w:r>
            <w:r w:rsidR="00050D2E" w:rsidRPr="00895080">
              <w:rPr>
                <w:rFonts w:asciiTheme="majorHAnsi" w:hAnsiTheme="majorHAnsi" w:cstheme="majorHAnsi"/>
                <w:i/>
                <w:sz w:val="22"/>
                <w:szCs w:val="22"/>
              </w:rPr>
              <w:t>Dimensions of Communication</w:t>
            </w:r>
          </w:p>
        </w:tc>
        <w:tc>
          <w:tcPr>
            <w:tcW w:w="3330" w:type="dxa"/>
          </w:tcPr>
          <w:p w14:paraId="088C5E40" w14:textId="3C96ED32" w:rsidR="004F0708" w:rsidRPr="00895080" w:rsidRDefault="004F0708" w:rsidP="000D2800">
            <w:pPr>
              <w:rPr>
                <w:rFonts w:asciiTheme="majorHAnsi" w:hAnsiTheme="majorHAnsi" w:cstheme="majorHAnsi"/>
                <w:sz w:val="22"/>
                <w:szCs w:val="22"/>
              </w:rPr>
            </w:pPr>
            <w:r w:rsidRPr="00895080">
              <w:rPr>
                <w:rFonts w:asciiTheme="majorHAnsi" w:hAnsiTheme="majorHAnsi" w:cstheme="majorHAnsi"/>
                <w:sz w:val="22"/>
                <w:szCs w:val="22"/>
              </w:rPr>
              <w:t>Deaf/Blind</w:t>
            </w:r>
          </w:p>
          <w:p w14:paraId="05167DF8" w14:textId="080F89C0" w:rsidR="004F0708" w:rsidRPr="00895080" w:rsidRDefault="00050D2E" w:rsidP="00050D2E">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lang w:val="haw-US"/>
              </w:rPr>
              <w:t>Dammeyer (2011)</w:t>
            </w:r>
          </w:p>
          <w:p w14:paraId="33F8A0FA" w14:textId="1A9FDCCC" w:rsidR="004F0708" w:rsidRPr="00895080" w:rsidRDefault="00050D2E" w:rsidP="00895080">
            <w:pPr>
              <w:pStyle w:val="ListParagraph"/>
              <w:numPr>
                <w:ilvl w:val="0"/>
                <w:numId w:val="7"/>
              </w:numPr>
              <w:rPr>
                <w:rFonts w:asciiTheme="majorHAnsi" w:hAnsiTheme="majorHAnsi" w:cstheme="majorHAnsi"/>
                <w:sz w:val="22"/>
                <w:szCs w:val="22"/>
              </w:rPr>
            </w:pPr>
            <w:r w:rsidRPr="00895080">
              <w:rPr>
                <w:rFonts w:asciiTheme="majorHAnsi" w:eastAsia="Calibri" w:hAnsiTheme="majorHAnsi" w:cstheme="majorHAnsi"/>
                <w:sz w:val="22"/>
                <w:szCs w:val="22"/>
                <w:lang w:val="haw-US"/>
              </w:rPr>
              <w:t>Fern</w:t>
            </w:r>
            <w:proofErr w:type="spellStart"/>
            <w:r w:rsidRPr="00895080">
              <w:rPr>
                <w:rFonts w:asciiTheme="majorHAnsi" w:eastAsia="Calibri" w:hAnsiTheme="majorHAnsi" w:cstheme="majorHAnsi"/>
                <w:sz w:val="22"/>
                <w:szCs w:val="22"/>
              </w:rPr>
              <w:t>ández-Valderas</w:t>
            </w:r>
            <w:proofErr w:type="spellEnd"/>
            <w:r w:rsidRPr="00895080">
              <w:rPr>
                <w:rFonts w:asciiTheme="majorHAnsi" w:eastAsia="Calibri" w:hAnsiTheme="majorHAnsi" w:cstheme="majorHAnsi"/>
                <w:sz w:val="22"/>
                <w:szCs w:val="22"/>
              </w:rPr>
              <w:t xml:space="preserve"> (2017)</w:t>
            </w:r>
          </w:p>
        </w:tc>
        <w:tc>
          <w:tcPr>
            <w:tcW w:w="1800" w:type="dxa"/>
          </w:tcPr>
          <w:p w14:paraId="64445DC7" w14:textId="77777777" w:rsidR="000D2800" w:rsidRPr="00895080" w:rsidRDefault="000D2800">
            <w:pPr>
              <w:rPr>
                <w:rFonts w:asciiTheme="majorHAnsi" w:hAnsiTheme="majorHAnsi" w:cstheme="majorHAnsi"/>
                <w:sz w:val="22"/>
                <w:szCs w:val="22"/>
              </w:rPr>
            </w:pPr>
          </w:p>
        </w:tc>
      </w:tr>
      <w:tr w:rsidR="000D2800" w:rsidRPr="0017166B" w14:paraId="1167005C" w14:textId="77777777" w:rsidTr="00996803">
        <w:tc>
          <w:tcPr>
            <w:tcW w:w="745" w:type="dxa"/>
          </w:tcPr>
          <w:p w14:paraId="346359A6" w14:textId="0C087C58" w:rsidR="000D2800" w:rsidRPr="00895080" w:rsidRDefault="000D2800">
            <w:pPr>
              <w:jc w:val="center"/>
              <w:rPr>
                <w:rFonts w:asciiTheme="majorHAnsi" w:hAnsiTheme="majorHAnsi" w:cstheme="majorHAnsi"/>
                <w:sz w:val="22"/>
                <w:szCs w:val="22"/>
              </w:rPr>
            </w:pPr>
            <w:r w:rsidRPr="00820F3F">
              <w:rPr>
                <w:rFonts w:asciiTheme="majorHAnsi" w:hAnsiTheme="majorHAnsi" w:cstheme="majorHAnsi"/>
                <w:color w:val="FF0000"/>
                <w:sz w:val="22"/>
                <w:szCs w:val="22"/>
              </w:rPr>
              <w:t>6</w:t>
            </w:r>
          </w:p>
        </w:tc>
        <w:tc>
          <w:tcPr>
            <w:tcW w:w="780" w:type="dxa"/>
          </w:tcPr>
          <w:p w14:paraId="627301A8" w14:textId="787B906A" w:rsidR="000D2800" w:rsidRPr="00895080" w:rsidRDefault="000D2800">
            <w:pPr>
              <w:jc w:val="center"/>
              <w:rPr>
                <w:rFonts w:asciiTheme="majorHAnsi" w:hAnsiTheme="majorHAnsi" w:cstheme="majorHAnsi"/>
                <w:sz w:val="22"/>
                <w:szCs w:val="22"/>
              </w:rPr>
            </w:pPr>
            <w:r w:rsidRPr="00820F3F">
              <w:rPr>
                <w:rFonts w:asciiTheme="majorHAnsi" w:hAnsiTheme="majorHAnsi" w:cstheme="majorHAnsi"/>
                <w:color w:val="FF0000"/>
                <w:sz w:val="22"/>
                <w:szCs w:val="22"/>
              </w:rPr>
              <w:t>2/16</w:t>
            </w:r>
          </w:p>
        </w:tc>
        <w:tc>
          <w:tcPr>
            <w:tcW w:w="3240" w:type="dxa"/>
          </w:tcPr>
          <w:p w14:paraId="71136764" w14:textId="4FAD203C" w:rsidR="000D2800" w:rsidRPr="00895080" w:rsidRDefault="00050D2E" w:rsidP="005C530C">
            <w:pPr>
              <w:ind w:right="-113"/>
              <w:rPr>
                <w:rFonts w:asciiTheme="majorHAnsi" w:hAnsiTheme="majorHAnsi" w:cstheme="majorHAnsi"/>
                <w:sz w:val="22"/>
                <w:szCs w:val="22"/>
              </w:rPr>
            </w:pPr>
            <w:r w:rsidRPr="00895080">
              <w:rPr>
                <w:rFonts w:asciiTheme="majorHAnsi" w:hAnsiTheme="majorHAnsi" w:cstheme="majorHAnsi"/>
                <w:sz w:val="22"/>
                <w:szCs w:val="22"/>
              </w:rPr>
              <w:t xml:space="preserve">Ax of Autism; </w:t>
            </w:r>
            <w:proofErr w:type="spellStart"/>
            <w:r w:rsidR="009A7558" w:rsidRPr="00895080">
              <w:rPr>
                <w:rFonts w:asciiTheme="majorHAnsi" w:hAnsiTheme="majorHAnsi" w:cstheme="majorHAnsi"/>
                <w:sz w:val="22"/>
                <w:szCs w:val="22"/>
              </w:rPr>
              <w:t>Dxics</w:t>
            </w:r>
            <w:proofErr w:type="spellEnd"/>
            <w:r w:rsidR="009A7558" w:rsidRPr="00895080">
              <w:rPr>
                <w:rFonts w:asciiTheme="majorHAnsi" w:hAnsiTheme="majorHAnsi" w:cstheme="majorHAnsi"/>
                <w:sz w:val="22"/>
                <w:szCs w:val="22"/>
              </w:rPr>
              <w:t xml:space="preserve"> and SDH; </w:t>
            </w:r>
            <w:r w:rsidR="00707976" w:rsidRPr="00895080">
              <w:rPr>
                <w:rFonts w:asciiTheme="majorHAnsi" w:hAnsiTheme="majorHAnsi" w:cstheme="majorHAnsi"/>
                <w:sz w:val="22"/>
                <w:szCs w:val="22"/>
              </w:rPr>
              <w:t>ADOS-2; ASRS;</w:t>
            </w:r>
            <w:r w:rsidR="00996803">
              <w:rPr>
                <w:rFonts w:asciiTheme="majorHAnsi" w:hAnsiTheme="majorHAnsi" w:cstheme="majorHAnsi"/>
                <w:sz w:val="22"/>
                <w:szCs w:val="22"/>
              </w:rPr>
              <w:t xml:space="preserve"> NEPSY-2;</w:t>
            </w:r>
            <w:r w:rsidR="00707976" w:rsidRPr="00895080">
              <w:rPr>
                <w:rFonts w:asciiTheme="majorHAnsi" w:hAnsiTheme="majorHAnsi" w:cstheme="majorHAnsi"/>
                <w:sz w:val="22"/>
                <w:szCs w:val="22"/>
              </w:rPr>
              <w:t xml:space="preserve"> </w:t>
            </w:r>
          </w:p>
        </w:tc>
        <w:tc>
          <w:tcPr>
            <w:tcW w:w="3330" w:type="dxa"/>
          </w:tcPr>
          <w:p w14:paraId="4E31AA06" w14:textId="0332A79D" w:rsidR="000D2800" w:rsidRPr="00895080" w:rsidRDefault="00707976" w:rsidP="000D2800">
            <w:pPr>
              <w:rPr>
                <w:rFonts w:asciiTheme="majorHAnsi" w:hAnsiTheme="majorHAnsi" w:cstheme="majorHAnsi"/>
                <w:sz w:val="22"/>
                <w:szCs w:val="22"/>
              </w:rPr>
            </w:pPr>
            <w:r w:rsidRPr="00895080">
              <w:rPr>
                <w:rFonts w:asciiTheme="majorHAnsi" w:hAnsiTheme="majorHAnsi" w:cstheme="majorHAnsi"/>
                <w:sz w:val="22"/>
                <w:szCs w:val="22"/>
              </w:rPr>
              <w:t>Autism – Ax</w:t>
            </w:r>
          </w:p>
          <w:p w14:paraId="452175C1" w14:textId="01E6490B" w:rsidR="00707976" w:rsidRPr="00895080" w:rsidRDefault="00707976" w:rsidP="00707976">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Place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2014)</w:t>
            </w:r>
          </w:p>
          <w:p w14:paraId="10724D9C" w14:textId="7B2EED3B" w:rsidR="00707976" w:rsidRPr="00895080" w:rsidRDefault="00707976" w:rsidP="00707976">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Sheridan &amp; Lord (2020)</w:t>
            </w:r>
          </w:p>
        </w:tc>
        <w:tc>
          <w:tcPr>
            <w:tcW w:w="1800" w:type="dxa"/>
          </w:tcPr>
          <w:p w14:paraId="0C180AE7" w14:textId="13228839" w:rsidR="000D2800" w:rsidRPr="00895080" w:rsidRDefault="00820F3F">
            <w:pPr>
              <w:rPr>
                <w:rFonts w:asciiTheme="majorHAnsi" w:hAnsiTheme="majorHAnsi" w:cstheme="majorHAnsi"/>
                <w:sz w:val="22"/>
                <w:szCs w:val="22"/>
              </w:rPr>
            </w:pPr>
            <w:bookmarkStart w:id="11" w:name="_GoBack"/>
            <w:r w:rsidRPr="00820F3F">
              <w:rPr>
                <w:rFonts w:asciiTheme="majorHAnsi" w:hAnsiTheme="majorHAnsi" w:cstheme="majorHAnsi"/>
                <w:color w:val="FF0000"/>
                <w:sz w:val="22"/>
                <w:szCs w:val="22"/>
              </w:rPr>
              <w:t>ON CAMPUS</w:t>
            </w:r>
            <w:bookmarkEnd w:id="11"/>
          </w:p>
        </w:tc>
      </w:tr>
      <w:tr w:rsidR="000D2800" w:rsidRPr="0017166B" w14:paraId="742B63D5" w14:textId="77777777" w:rsidTr="00996803">
        <w:tc>
          <w:tcPr>
            <w:tcW w:w="745" w:type="dxa"/>
          </w:tcPr>
          <w:p w14:paraId="2121B7D5" w14:textId="2FAF575D"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7</w:t>
            </w:r>
          </w:p>
        </w:tc>
        <w:tc>
          <w:tcPr>
            <w:tcW w:w="780" w:type="dxa"/>
          </w:tcPr>
          <w:p w14:paraId="25962B64" w14:textId="7B4825A9"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2/23</w:t>
            </w:r>
          </w:p>
        </w:tc>
        <w:tc>
          <w:tcPr>
            <w:tcW w:w="3240" w:type="dxa"/>
          </w:tcPr>
          <w:p w14:paraId="0D0B59F9" w14:textId="402895D6" w:rsidR="000D2800" w:rsidRPr="00895080" w:rsidRDefault="00707976" w:rsidP="005C530C">
            <w:pPr>
              <w:ind w:right="-113"/>
              <w:rPr>
                <w:rFonts w:asciiTheme="majorHAnsi" w:hAnsiTheme="majorHAnsi" w:cstheme="majorHAnsi"/>
                <w:sz w:val="22"/>
                <w:szCs w:val="22"/>
              </w:rPr>
            </w:pPr>
            <w:r w:rsidRPr="00895080">
              <w:rPr>
                <w:rFonts w:asciiTheme="majorHAnsi" w:hAnsiTheme="majorHAnsi" w:cstheme="majorHAnsi"/>
                <w:sz w:val="22"/>
                <w:szCs w:val="22"/>
              </w:rPr>
              <w:t>Tx of Autism; ABA; PRT</w:t>
            </w:r>
            <w:r w:rsidR="00996803">
              <w:rPr>
                <w:rFonts w:asciiTheme="majorHAnsi" w:hAnsiTheme="majorHAnsi" w:cstheme="majorHAnsi"/>
                <w:sz w:val="22"/>
                <w:szCs w:val="22"/>
              </w:rPr>
              <w:t>;</w:t>
            </w:r>
            <w:r w:rsidR="00996803" w:rsidRPr="00895080">
              <w:rPr>
                <w:rFonts w:asciiTheme="majorHAnsi" w:hAnsiTheme="majorHAnsi" w:cstheme="majorHAnsi"/>
                <w:sz w:val="22"/>
                <w:szCs w:val="22"/>
              </w:rPr>
              <w:t xml:space="preserve"> </w:t>
            </w:r>
            <w:r w:rsidR="00996803" w:rsidRPr="00895080">
              <w:rPr>
                <w:rFonts w:asciiTheme="majorHAnsi" w:hAnsiTheme="majorHAnsi" w:cstheme="majorHAnsi"/>
                <w:sz w:val="22"/>
                <w:szCs w:val="22"/>
              </w:rPr>
              <w:t>PBL #2</w:t>
            </w:r>
          </w:p>
        </w:tc>
        <w:tc>
          <w:tcPr>
            <w:tcW w:w="3330" w:type="dxa"/>
          </w:tcPr>
          <w:p w14:paraId="1DAE6E35" w14:textId="77777777" w:rsidR="000D2800" w:rsidRPr="00895080" w:rsidRDefault="00707976" w:rsidP="000D2800">
            <w:pPr>
              <w:rPr>
                <w:rFonts w:asciiTheme="majorHAnsi" w:hAnsiTheme="majorHAnsi" w:cstheme="majorHAnsi"/>
                <w:sz w:val="22"/>
                <w:szCs w:val="22"/>
              </w:rPr>
            </w:pPr>
            <w:r w:rsidRPr="00895080">
              <w:rPr>
                <w:rFonts w:asciiTheme="majorHAnsi" w:hAnsiTheme="majorHAnsi" w:cstheme="majorHAnsi"/>
                <w:sz w:val="22"/>
                <w:szCs w:val="22"/>
              </w:rPr>
              <w:t>Autism – Tx</w:t>
            </w:r>
          </w:p>
          <w:p w14:paraId="6C9B7F01" w14:textId="7A8CD0AF" w:rsidR="00707976" w:rsidRPr="00895080" w:rsidRDefault="00707976" w:rsidP="00707976">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Koegel</w:t>
            </w:r>
            <w:proofErr w:type="spellEnd"/>
            <w:r w:rsidRPr="00895080">
              <w:rPr>
                <w:rFonts w:asciiTheme="majorHAnsi" w:eastAsia="Calibri" w:hAnsiTheme="majorHAnsi" w:cstheme="majorHAnsi"/>
                <w:sz w:val="22"/>
                <w:szCs w:val="22"/>
              </w:rPr>
              <w:t xml:space="preserv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2010)</w:t>
            </w:r>
          </w:p>
          <w:p w14:paraId="0787533E" w14:textId="246429A6" w:rsidR="00707976" w:rsidRPr="00895080" w:rsidRDefault="00707976" w:rsidP="00707976">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Smith (2010)</w:t>
            </w:r>
          </w:p>
        </w:tc>
        <w:tc>
          <w:tcPr>
            <w:tcW w:w="1800" w:type="dxa"/>
          </w:tcPr>
          <w:p w14:paraId="6D912453" w14:textId="77777777" w:rsidR="000D2800" w:rsidRPr="00895080" w:rsidRDefault="000D2800">
            <w:pPr>
              <w:rPr>
                <w:rFonts w:asciiTheme="majorHAnsi" w:hAnsiTheme="majorHAnsi" w:cstheme="majorHAnsi"/>
                <w:sz w:val="22"/>
                <w:szCs w:val="22"/>
              </w:rPr>
            </w:pPr>
          </w:p>
        </w:tc>
      </w:tr>
      <w:tr w:rsidR="000D2800" w:rsidRPr="0017166B" w14:paraId="01D3551B" w14:textId="77777777" w:rsidTr="00996803">
        <w:tc>
          <w:tcPr>
            <w:tcW w:w="745" w:type="dxa"/>
          </w:tcPr>
          <w:p w14:paraId="4CBD3C86" w14:textId="45D4131F"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8</w:t>
            </w:r>
          </w:p>
        </w:tc>
        <w:tc>
          <w:tcPr>
            <w:tcW w:w="780" w:type="dxa"/>
          </w:tcPr>
          <w:p w14:paraId="12C7B80D" w14:textId="2B0C5479"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3/2</w:t>
            </w:r>
          </w:p>
        </w:tc>
        <w:tc>
          <w:tcPr>
            <w:tcW w:w="3240" w:type="dxa"/>
          </w:tcPr>
          <w:p w14:paraId="12EC7642" w14:textId="6C5E329E" w:rsidR="000D2800" w:rsidRPr="00895080" w:rsidRDefault="009A7558" w:rsidP="00B476F2">
            <w:pPr>
              <w:ind w:right="-113"/>
              <w:rPr>
                <w:rFonts w:asciiTheme="majorHAnsi" w:hAnsiTheme="majorHAnsi" w:cstheme="majorHAnsi"/>
                <w:sz w:val="22"/>
                <w:szCs w:val="22"/>
              </w:rPr>
            </w:pPr>
            <w:r w:rsidRPr="00895080">
              <w:rPr>
                <w:rFonts w:asciiTheme="majorHAnsi" w:hAnsiTheme="majorHAnsi" w:cstheme="majorHAnsi"/>
                <w:sz w:val="22"/>
                <w:szCs w:val="22"/>
              </w:rPr>
              <w:t xml:space="preserve">Ax &amp; Tx of LD; LD </w:t>
            </w:r>
            <w:proofErr w:type="spellStart"/>
            <w:r w:rsidRPr="00895080">
              <w:rPr>
                <w:rFonts w:asciiTheme="majorHAnsi" w:hAnsiTheme="majorHAnsi" w:cstheme="majorHAnsi"/>
                <w:sz w:val="22"/>
                <w:szCs w:val="22"/>
              </w:rPr>
              <w:t>Dxics</w:t>
            </w:r>
            <w:proofErr w:type="spellEnd"/>
            <w:r w:rsidRPr="00895080">
              <w:rPr>
                <w:rFonts w:asciiTheme="majorHAnsi" w:hAnsiTheme="majorHAnsi" w:cstheme="majorHAnsi"/>
                <w:sz w:val="22"/>
                <w:szCs w:val="22"/>
              </w:rPr>
              <w:t xml:space="preserve"> and SDH; </w:t>
            </w:r>
            <w:r w:rsidR="00B476F2" w:rsidRPr="00895080">
              <w:rPr>
                <w:rFonts w:asciiTheme="majorHAnsi" w:hAnsiTheme="majorHAnsi" w:cstheme="majorHAnsi"/>
                <w:sz w:val="22"/>
                <w:szCs w:val="22"/>
              </w:rPr>
              <w:t>ADHD; WJ-IV;</w:t>
            </w:r>
          </w:p>
        </w:tc>
        <w:tc>
          <w:tcPr>
            <w:tcW w:w="3330" w:type="dxa"/>
          </w:tcPr>
          <w:p w14:paraId="65639761" w14:textId="77777777" w:rsidR="00B20F62" w:rsidRPr="00895080" w:rsidRDefault="00B20F62" w:rsidP="00955612">
            <w:pPr>
              <w:rPr>
                <w:rFonts w:asciiTheme="majorHAnsi" w:hAnsiTheme="majorHAnsi" w:cstheme="majorHAnsi"/>
                <w:sz w:val="22"/>
                <w:szCs w:val="22"/>
              </w:rPr>
            </w:pPr>
            <w:r w:rsidRPr="00895080">
              <w:rPr>
                <w:rFonts w:asciiTheme="majorHAnsi" w:hAnsiTheme="majorHAnsi" w:cstheme="majorHAnsi"/>
                <w:sz w:val="22"/>
                <w:szCs w:val="22"/>
              </w:rPr>
              <w:t>LD/ADHD</w:t>
            </w:r>
          </w:p>
          <w:p w14:paraId="4B801861" w14:textId="6024157D" w:rsidR="000D2800" w:rsidRPr="00895080" w:rsidRDefault="00B476F2" w:rsidP="00B20F62">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Biswas &amp; Furniss (2009)</w:t>
            </w:r>
          </w:p>
          <w:p w14:paraId="75A59202" w14:textId="072EB16E" w:rsidR="00D308DE" w:rsidRPr="00895080" w:rsidRDefault="00B476F2" w:rsidP="00B476F2">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McGill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2020)</w:t>
            </w:r>
          </w:p>
          <w:p w14:paraId="148189E9" w14:textId="65B1D833" w:rsidR="008665DC" w:rsidRPr="00895080" w:rsidRDefault="008665DC" w:rsidP="00B476F2">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Zablonsky</w:t>
            </w:r>
            <w:proofErr w:type="spellEnd"/>
            <w:r w:rsidRPr="00895080">
              <w:rPr>
                <w:rFonts w:asciiTheme="majorHAnsi" w:eastAsia="Calibri" w:hAnsiTheme="majorHAnsi" w:cstheme="majorHAnsi"/>
                <w:sz w:val="22"/>
                <w:szCs w:val="22"/>
              </w:rPr>
              <w:t xml:space="preserve"> &amp; Alford (2020)</w:t>
            </w:r>
          </w:p>
        </w:tc>
        <w:tc>
          <w:tcPr>
            <w:tcW w:w="1800" w:type="dxa"/>
          </w:tcPr>
          <w:p w14:paraId="48947182" w14:textId="6C71BCEE" w:rsidR="000D2800" w:rsidRPr="00895080" w:rsidRDefault="000D2800">
            <w:pPr>
              <w:rPr>
                <w:rFonts w:asciiTheme="majorHAnsi" w:hAnsiTheme="majorHAnsi" w:cstheme="majorHAnsi"/>
                <w:sz w:val="22"/>
                <w:szCs w:val="22"/>
              </w:rPr>
            </w:pPr>
          </w:p>
        </w:tc>
      </w:tr>
      <w:tr w:rsidR="000D2800" w:rsidRPr="0017166B" w14:paraId="28AC92EE" w14:textId="77777777" w:rsidTr="00996803">
        <w:tc>
          <w:tcPr>
            <w:tcW w:w="745" w:type="dxa"/>
          </w:tcPr>
          <w:p w14:paraId="5F78BF6F" w14:textId="38B34918"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9</w:t>
            </w:r>
          </w:p>
        </w:tc>
        <w:tc>
          <w:tcPr>
            <w:tcW w:w="780" w:type="dxa"/>
          </w:tcPr>
          <w:p w14:paraId="3654E263" w14:textId="797904B3"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3/9</w:t>
            </w:r>
          </w:p>
        </w:tc>
        <w:tc>
          <w:tcPr>
            <w:tcW w:w="3240" w:type="dxa"/>
          </w:tcPr>
          <w:p w14:paraId="717DBA5E" w14:textId="4F2706B7" w:rsidR="000D2800" w:rsidRPr="00895080" w:rsidRDefault="00F23821" w:rsidP="00B20F62">
            <w:pPr>
              <w:ind w:right="-113"/>
              <w:rPr>
                <w:rFonts w:asciiTheme="majorHAnsi" w:hAnsiTheme="majorHAnsi" w:cstheme="majorHAnsi"/>
                <w:sz w:val="22"/>
                <w:szCs w:val="22"/>
              </w:rPr>
            </w:pPr>
            <w:r w:rsidRPr="00895080">
              <w:rPr>
                <w:rFonts w:asciiTheme="majorHAnsi" w:hAnsiTheme="majorHAnsi" w:cstheme="majorHAnsi"/>
                <w:sz w:val="22"/>
                <w:szCs w:val="22"/>
              </w:rPr>
              <w:t xml:space="preserve">Ax &amp; Tx </w:t>
            </w:r>
            <w:r w:rsidR="00B20F62" w:rsidRPr="00895080">
              <w:rPr>
                <w:rFonts w:asciiTheme="majorHAnsi" w:hAnsiTheme="majorHAnsi" w:cstheme="majorHAnsi"/>
                <w:sz w:val="22"/>
                <w:szCs w:val="22"/>
              </w:rPr>
              <w:t>considerati</w:t>
            </w:r>
            <w:r w:rsidR="008F6B0D" w:rsidRPr="00895080">
              <w:rPr>
                <w:rFonts w:asciiTheme="majorHAnsi" w:hAnsiTheme="majorHAnsi" w:cstheme="majorHAnsi"/>
                <w:sz w:val="22"/>
                <w:szCs w:val="22"/>
              </w:rPr>
              <w:t>o</w:t>
            </w:r>
            <w:r w:rsidR="00B20F62" w:rsidRPr="00895080">
              <w:rPr>
                <w:rFonts w:asciiTheme="majorHAnsi" w:hAnsiTheme="majorHAnsi" w:cstheme="majorHAnsi"/>
                <w:sz w:val="22"/>
                <w:szCs w:val="22"/>
              </w:rPr>
              <w:t>ns with</w:t>
            </w:r>
            <w:r w:rsidRPr="00895080">
              <w:rPr>
                <w:rFonts w:asciiTheme="majorHAnsi" w:hAnsiTheme="majorHAnsi" w:cstheme="majorHAnsi"/>
                <w:sz w:val="22"/>
                <w:szCs w:val="22"/>
              </w:rPr>
              <w:t xml:space="preserve"> LGBTQ</w:t>
            </w:r>
            <w:r w:rsidR="00863E93" w:rsidRPr="00895080">
              <w:rPr>
                <w:rFonts w:asciiTheme="majorHAnsi" w:hAnsiTheme="majorHAnsi" w:cstheme="majorHAnsi"/>
                <w:sz w:val="22"/>
                <w:szCs w:val="22"/>
              </w:rPr>
              <w:t>; cultural competence with LGBTQ; guest speaker</w:t>
            </w:r>
            <w:r w:rsidR="00F212F3" w:rsidRPr="00895080">
              <w:rPr>
                <w:rFonts w:asciiTheme="majorHAnsi" w:hAnsiTheme="majorHAnsi" w:cstheme="majorHAnsi"/>
                <w:sz w:val="22"/>
                <w:szCs w:val="22"/>
              </w:rPr>
              <w:t>?</w:t>
            </w:r>
          </w:p>
        </w:tc>
        <w:tc>
          <w:tcPr>
            <w:tcW w:w="3330" w:type="dxa"/>
          </w:tcPr>
          <w:p w14:paraId="4BAC892A" w14:textId="77777777" w:rsidR="000D2800" w:rsidRPr="00895080" w:rsidRDefault="00F212F3" w:rsidP="000D2800">
            <w:pPr>
              <w:rPr>
                <w:rFonts w:asciiTheme="majorHAnsi" w:hAnsiTheme="majorHAnsi" w:cstheme="majorHAnsi"/>
                <w:sz w:val="22"/>
                <w:szCs w:val="22"/>
              </w:rPr>
            </w:pPr>
            <w:r w:rsidRPr="00895080">
              <w:rPr>
                <w:rFonts w:asciiTheme="majorHAnsi" w:hAnsiTheme="majorHAnsi" w:cstheme="majorHAnsi"/>
                <w:sz w:val="22"/>
                <w:szCs w:val="22"/>
              </w:rPr>
              <w:t>LGBTQ</w:t>
            </w:r>
          </w:p>
          <w:p w14:paraId="3BC96BD0" w14:textId="7712CED2" w:rsidR="00F212F3" w:rsidRPr="00895080" w:rsidRDefault="00F212F3" w:rsidP="00F212F3">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Moe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2015)</w:t>
            </w:r>
          </w:p>
          <w:p w14:paraId="2D648318" w14:textId="22B52EC5" w:rsidR="00F212F3" w:rsidRPr="00895080" w:rsidRDefault="00F212F3" w:rsidP="00F212F3">
            <w:pPr>
              <w:pStyle w:val="ListParagraph"/>
              <w:numPr>
                <w:ilvl w:val="0"/>
                <w:numId w:val="7"/>
              </w:numPr>
              <w:rPr>
                <w:rFonts w:asciiTheme="majorHAnsi" w:eastAsia="Calibri" w:hAnsiTheme="majorHAnsi" w:cstheme="majorHAnsi"/>
                <w:sz w:val="22"/>
                <w:szCs w:val="22"/>
              </w:rPr>
            </w:pPr>
            <w:r w:rsidRPr="00895080">
              <w:rPr>
                <w:rFonts w:asciiTheme="majorHAnsi" w:hAnsiTheme="majorHAnsi" w:cstheme="majorHAnsi"/>
                <w:sz w:val="22"/>
                <w:szCs w:val="22"/>
              </w:rPr>
              <w:t xml:space="preserve">Peterson </w:t>
            </w:r>
            <w:proofErr w:type="gramStart"/>
            <w:r w:rsidRPr="00895080">
              <w:rPr>
                <w:rFonts w:asciiTheme="majorHAnsi" w:hAnsiTheme="majorHAnsi" w:cstheme="majorHAnsi"/>
                <w:sz w:val="22"/>
                <w:szCs w:val="22"/>
              </w:rPr>
              <w:t>et</w:t>
            </w:r>
            <w:r w:rsidR="0017166B">
              <w:rPr>
                <w:rFonts w:asciiTheme="majorHAnsi" w:hAnsiTheme="majorHAnsi" w:cstheme="majorHAnsi"/>
                <w:sz w:val="22"/>
                <w:szCs w:val="22"/>
              </w:rPr>
              <w:t xml:space="preserve"> al.</w:t>
            </w:r>
            <w:r w:rsidRPr="00895080">
              <w:rPr>
                <w:rFonts w:asciiTheme="majorHAnsi" w:hAnsiTheme="majorHAnsi" w:cstheme="majorHAnsi"/>
                <w:sz w:val="22"/>
                <w:szCs w:val="22"/>
              </w:rPr>
              <w:t>(</w:t>
            </w:r>
            <w:proofErr w:type="gramEnd"/>
            <w:r w:rsidRPr="00895080">
              <w:rPr>
                <w:rFonts w:asciiTheme="majorHAnsi" w:hAnsiTheme="majorHAnsi" w:cstheme="majorHAnsi"/>
                <w:sz w:val="22"/>
                <w:szCs w:val="22"/>
              </w:rPr>
              <w:t>2017)</w:t>
            </w:r>
          </w:p>
          <w:p w14:paraId="215B54CD" w14:textId="77777777" w:rsidR="00F212F3" w:rsidRPr="00895080" w:rsidRDefault="00F212F3" w:rsidP="00F212F3">
            <w:pPr>
              <w:pStyle w:val="ListParagraph"/>
              <w:numPr>
                <w:ilvl w:val="0"/>
                <w:numId w:val="7"/>
              </w:numPr>
              <w:rPr>
                <w:rFonts w:asciiTheme="majorHAnsi" w:eastAsia="Calibri" w:hAnsiTheme="majorHAnsi" w:cstheme="majorHAnsi"/>
                <w:sz w:val="22"/>
                <w:szCs w:val="22"/>
              </w:rPr>
            </w:pPr>
            <w:r w:rsidRPr="00895080">
              <w:rPr>
                <w:rFonts w:asciiTheme="majorHAnsi" w:hAnsiTheme="majorHAnsi" w:cstheme="majorHAnsi"/>
                <w:sz w:val="22"/>
                <w:szCs w:val="22"/>
              </w:rPr>
              <w:t>Russell &amp; Fish (2016)</w:t>
            </w:r>
          </w:p>
          <w:p w14:paraId="7F639025" w14:textId="13B0638F" w:rsidR="00F212F3" w:rsidRPr="00895080" w:rsidRDefault="00F212F3" w:rsidP="00F212F3">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Sue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2019)</w:t>
            </w:r>
          </w:p>
        </w:tc>
        <w:tc>
          <w:tcPr>
            <w:tcW w:w="1800" w:type="dxa"/>
          </w:tcPr>
          <w:p w14:paraId="33938592" w14:textId="77777777" w:rsidR="00996803" w:rsidRDefault="00996803">
            <w:pPr>
              <w:rPr>
                <w:rFonts w:asciiTheme="majorHAnsi" w:hAnsiTheme="majorHAnsi" w:cstheme="majorHAnsi"/>
                <w:sz w:val="22"/>
                <w:szCs w:val="22"/>
              </w:rPr>
            </w:pPr>
            <w:r w:rsidRPr="00895080">
              <w:rPr>
                <w:rFonts w:asciiTheme="majorHAnsi" w:hAnsiTheme="majorHAnsi" w:cstheme="majorHAnsi"/>
                <w:sz w:val="22"/>
                <w:szCs w:val="22"/>
              </w:rPr>
              <w:t>LI #2 write-ups</w:t>
            </w:r>
          </w:p>
          <w:p w14:paraId="299DE024" w14:textId="74918896" w:rsidR="000D2800" w:rsidRPr="00895080" w:rsidRDefault="00996803">
            <w:pPr>
              <w:rPr>
                <w:rFonts w:asciiTheme="majorHAnsi" w:hAnsiTheme="majorHAnsi" w:cstheme="majorHAnsi"/>
                <w:sz w:val="22"/>
                <w:szCs w:val="22"/>
              </w:rPr>
            </w:pPr>
            <w:r>
              <w:rPr>
                <w:rFonts w:asciiTheme="majorHAnsi" w:hAnsiTheme="majorHAnsi" w:cstheme="majorHAnsi"/>
                <w:sz w:val="22"/>
                <w:szCs w:val="22"/>
              </w:rPr>
              <w:t>provide</w:t>
            </w:r>
            <w:r w:rsidR="00B412C5" w:rsidRPr="00895080">
              <w:rPr>
                <w:rFonts w:asciiTheme="majorHAnsi" w:hAnsiTheme="majorHAnsi" w:cstheme="majorHAnsi"/>
                <w:sz w:val="22"/>
                <w:szCs w:val="22"/>
              </w:rPr>
              <w:t xml:space="preserve"> </w:t>
            </w:r>
            <w:r>
              <w:rPr>
                <w:rFonts w:asciiTheme="majorHAnsi" w:hAnsiTheme="majorHAnsi" w:cstheme="majorHAnsi"/>
                <w:sz w:val="22"/>
                <w:szCs w:val="22"/>
              </w:rPr>
              <w:t>article(s)</w:t>
            </w:r>
            <w:r w:rsidR="00B412C5" w:rsidRPr="00895080">
              <w:rPr>
                <w:rFonts w:asciiTheme="majorHAnsi" w:hAnsiTheme="majorHAnsi" w:cstheme="majorHAnsi"/>
                <w:sz w:val="22"/>
                <w:szCs w:val="22"/>
              </w:rPr>
              <w:t xml:space="preserve"> for next week </w:t>
            </w:r>
          </w:p>
        </w:tc>
      </w:tr>
      <w:tr w:rsidR="000D2800" w:rsidRPr="0017166B" w14:paraId="241D4F56" w14:textId="77777777" w:rsidTr="00996803">
        <w:tc>
          <w:tcPr>
            <w:tcW w:w="745" w:type="dxa"/>
          </w:tcPr>
          <w:p w14:paraId="3E81FE85" w14:textId="650E8800"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10</w:t>
            </w:r>
          </w:p>
        </w:tc>
        <w:tc>
          <w:tcPr>
            <w:tcW w:w="780" w:type="dxa"/>
          </w:tcPr>
          <w:p w14:paraId="1C0E1952" w14:textId="4CE08FAC"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3/16</w:t>
            </w:r>
          </w:p>
        </w:tc>
        <w:tc>
          <w:tcPr>
            <w:tcW w:w="3240" w:type="dxa"/>
          </w:tcPr>
          <w:p w14:paraId="63EE32EF" w14:textId="1D547F04" w:rsidR="000D2800" w:rsidRPr="00895080" w:rsidRDefault="003F4EF6" w:rsidP="005C530C">
            <w:pPr>
              <w:ind w:right="-113"/>
              <w:rPr>
                <w:rFonts w:asciiTheme="majorHAnsi" w:hAnsiTheme="majorHAnsi" w:cstheme="majorHAnsi"/>
                <w:sz w:val="22"/>
                <w:szCs w:val="22"/>
              </w:rPr>
            </w:pPr>
            <w:r w:rsidRPr="00895080">
              <w:rPr>
                <w:rFonts w:asciiTheme="majorHAnsi" w:hAnsiTheme="majorHAnsi" w:cstheme="majorHAnsi"/>
                <w:sz w:val="22"/>
                <w:szCs w:val="22"/>
              </w:rPr>
              <w:t>Teach-Ins – Guidelines for working with special populations</w:t>
            </w:r>
          </w:p>
        </w:tc>
        <w:tc>
          <w:tcPr>
            <w:tcW w:w="3330" w:type="dxa"/>
          </w:tcPr>
          <w:p w14:paraId="4424D3FD" w14:textId="44BA174E" w:rsidR="008F6B0D" w:rsidRPr="00895080" w:rsidRDefault="003F4EF6" w:rsidP="003F4EF6">
            <w:pPr>
              <w:pStyle w:val="ListParagraph"/>
              <w:ind w:left="60"/>
              <w:rPr>
                <w:rFonts w:asciiTheme="majorHAnsi" w:eastAsia="Calibri" w:hAnsiTheme="majorHAnsi" w:cstheme="majorHAnsi"/>
                <w:sz w:val="22"/>
                <w:szCs w:val="22"/>
              </w:rPr>
            </w:pPr>
            <w:r w:rsidRPr="00895080">
              <w:rPr>
                <w:rFonts w:asciiTheme="majorHAnsi" w:eastAsia="Calibri" w:hAnsiTheme="majorHAnsi" w:cstheme="majorHAnsi"/>
                <w:sz w:val="22"/>
                <w:szCs w:val="22"/>
              </w:rPr>
              <w:t>Readings TBA (assign 1-2)</w:t>
            </w:r>
          </w:p>
        </w:tc>
        <w:tc>
          <w:tcPr>
            <w:tcW w:w="1800" w:type="dxa"/>
          </w:tcPr>
          <w:p w14:paraId="53E57098" w14:textId="3E58B4E9" w:rsidR="000D2800" w:rsidRPr="00895080" w:rsidRDefault="003F4EF6">
            <w:pPr>
              <w:rPr>
                <w:rFonts w:asciiTheme="majorHAnsi" w:hAnsiTheme="majorHAnsi" w:cstheme="majorHAnsi"/>
                <w:sz w:val="22"/>
                <w:szCs w:val="22"/>
              </w:rPr>
            </w:pPr>
            <w:r w:rsidRPr="00895080">
              <w:rPr>
                <w:rFonts w:asciiTheme="majorHAnsi" w:hAnsiTheme="majorHAnsi" w:cstheme="majorHAnsi"/>
                <w:sz w:val="22"/>
                <w:szCs w:val="22"/>
              </w:rPr>
              <w:t>Teach-In ppts</w:t>
            </w:r>
          </w:p>
        </w:tc>
      </w:tr>
      <w:tr w:rsidR="000D2800" w:rsidRPr="0017166B" w14:paraId="0E30A93A" w14:textId="77777777" w:rsidTr="00996803">
        <w:tc>
          <w:tcPr>
            <w:tcW w:w="745" w:type="dxa"/>
          </w:tcPr>
          <w:p w14:paraId="0679DF29" w14:textId="676D86C2"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11</w:t>
            </w:r>
          </w:p>
        </w:tc>
        <w:tc>
          <w:tcPr>
            <w:tcW w:w="780" w:type="dxa"/>
          </w:tcPr>
          <w:p w14:paraId="0C72EB69" w14:textId="11162C22"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3/23</w:t>
            </w:r>
          </w:p>
        </w:tc>
        <w:tc>
          <w:tcPr>
            <w:tcW w:w="3240" w:type="dxa"/>
          </w:tcPr>
          <w:p w14:paraId="2FBDC182" w14:textId="10704F8D" w:rsidR="000D2800" w:rsidRPr="00895080" w:rsidRDefault="003F4EF6" w:rsidP="005C530C">
            <w:pPr>
              <w:ind w:right="-113"/>
              <w:rPr>
                <w:rFonts w:asciiTheme="majorHAnsi" w:hAnsiTheme="majorHAnsi" w:cstheme="majorHAnsi"/>
                <w:sz w:val="22"/>
                <w:szCs w:val="22"/>
              </w:rPr>
            </w:pPr>
            <w:r w:rsidRPr="00895080">
              <w:rPr>
                <w:rFonts w:asciiTheme="majorHAnsi" w:hAnsiTheme="majorHAnsi" w:cstheme="majorHAnsi"/>
                <w:sz w:val="22"/>
                <w:szCs w:val="22"/>
              </w:rPr>
              <w:t>Ax &amp; Tx considerations with Poverty</w:t>
            </w:r>
          </w:p>
        </w:tc>
        <w:tc>
          <w:tcPr>
            <w:tcW w:w="3330" w:type="dxa"/>
          </w:tcPr>
          <w:p w14:paraId="6E563449" w14:textId="77777777" w:rsidR="003F4EF6" w:rsidRPr="00895080" w:rsidRDefault="003F4EF6" w:rsidP="003F4EF6">
            <w:pPr>
              <w:rPr>
                <w:rFonts w:asciiTheme="majorHAnsi" w:hAnsiTheme="majorHAnsi" w:cstheme="majorHAnsi"/>
                <w:sz w:val="22"/>
                <w:szCs w:val="22"/>
              </w:rPr>
            </w:pPr>
            <w:r w:rsidRPr="00895080">
              <w:rPr>
                <w:rFonts w:asciiTheme="majorHAnsi" w:hAnsiTheme="majorHAnsi" w:cstheme="majorHAnsi"/>
                <w:sz w:val="22"/>
                <w:szCs w:val="22"/>
              </w:rPr>
              <w:t>Poverty</w:t>
            </w:r>
          </w:p>
          <w:p w14:paraId="7C20D23F" w14:textId="1373B9F8" w:rsidR="003F4EF6" w:rsidRPr="00895080" w:rsidRDefault="003F4EF6" w:rsidP="003F4EF6">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Goodman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2013)</w:t>
            </w:r>
          </w:p>
          <w:p w14:paraId="122EB34D" w14:textId="77777777" w:rsidR="003F4EF6" w:rsidRPr="00895080" w:rsidRDefault="003F4EF6" w:rsidP="003F4EF6">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Hawkins &amp; Kim (2012)</w:t>
            </w:r>
          </w:p>
          <w:p w14:paraId="5B412CA2" w14:textId="77777777" w:rsidR="00B412C5" w:rsidRPr="00895080" w:rsidRDefault="003F4EF6" w:rsidP="003F4EF6">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Kim &amp; </w:t>
            </w:r>
            <w:proofErr w:type="spellStart"/>
            <w:r w:rsidRPr="00895080">
              <w:rPr>
                <w:rFonts w:asciiTheme="majorHAnsi" w:eastAsia="Calibri" w:hAnsiTheme="majorHAnsi" w:cstheme="majorHAnsi"/>
                <w:sz w:val="22"/>
                <w:szCs w:val="22"/>
              </w:rPr>
              <w:t>Cardemil</w:t>
            </w:r>
            <w:proofErr w:type="spellEnd"/>
            <w:r w:rsidRPr="00895080">
              <w:rPr>
                <w:rFonts w:asciiTheme="majorHAnsi" w:eastAsia="Calibri" w:hAnsiTheme="majorHAnsi" w:cstheme="majorHAnsi"/>
                <w:sz w:val="22"/>
                <w:szCs w:val="22"/>
              </w:rPr>
              <w:t xml:space="preserve"> (2012)</w:t>
            </w:r>
          </w:p>
          <w:p w14:paraId="1DB57211" w14:textId="22DD95EA" w:rsidR="000D2800" w:rsidRPr="00895080" w:rsidRDefault="003F4EF6" w:rsidP="003F4EF6">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Sue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2019)</w:t>
            </w:r>
          </w:p>
        </w:tc>
        <w:tc>
          <w:tcPr>
            <w:tcW w:w="1800" w:type="dxa"/>
          </w:tcPr>
          <w:p w14:paraId="54E5C7D9" w14:textId="77777777" w:rsidR="000D2800" w:rsidRPr="00895080" w:rsidRDefault="000D2800">
            <w:pPr>
              <w:rPr>
                <w:rFonts w:asciiTheme="majorHAnsi" w:hAnsiTheme="majorHAnsi" w:cstheme="majorHAnsi"/>
                <w:sz w:val="22"/>
                <w:szCs w:val="22"/>
              </w:rPr>
            </w:pPr>
          </w:p>
        </w:tc>
      </w:tr>
      <w:tr w:rsidR="000D2800" w:rsidRPr="0017166B" w14:paraId="12011A19" w14:textId="77777777" w:rsidTr="00996803">
        <w:tc>
          <w:tcPr>
            <w:tcW w:w="745" w:type="dxa"/>
          </w:tcPr>
          <w:p w14:paraId="6FA0E90F" w14:textId="41F9710A"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12</w:t>
            </w:r>
          </w:p>
        </w:tc>
        <w:tc>
          <w:tcPr>
            <w:tcW w:w="780" w:type="dxa"/>
          </w:tcPr>
          <w:p w14:paraId="0B19CA48" w14:textId="2ACB34A7"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3/30</w:t>
            </w:r>
          </w:p>
        </w:tc>
        <w:tc>
          <w:tcPr>
            <w:tcW w:w="3240" w:type="dxa"/>
          </w:tcPr>
          <w:p w14:paraId="7771D9EF" w14:textId="4EFBC061" w:rsidR="000D2800" w:rsidRPr="00895080" w:rsidRDefault="00B20F62" w:rsidP="005C530C">
            <w:pPr>
              <w:ind w:right="-113"/>
              <w:rPr>
                <w:rFonts w:asciiTheme="majorHAnsi" w:hAnsiTheme="majorHAnsi" w:cstheme="majorHAnsi"/>
                <w:sz w:val="22"/>
                <w:szCs w:val="22"/>
              </w:rPr>
            </w:pPr>
            <w:r w:rsidRPr="00895080">
              <w:rPr>
                <w:rFonts w:asciiTheme="majorHAnsi" w:hAnsiTheme="majorHAnsi" w:cstheme="majorHAnsi"/>
                <w:sz w:val="22"/>
                <w:szCs w:val="22"/>
              </w:rPr>
              <w:t xml:space="preserve">Ax and Tx considerations in Trauma; </w:t>
            </w:r>
            <w:r w:rsidR="00F212F3" w:rsidRPr="00895080">
              <w:rPr>
                <w:rFonts w:asciiTheme="majorHAnsi" w:hAnsiTheme="majorHAnsi" w:cstheme="majorHAnsi"/>
                <w:sz w:val="22"/>
                <w:szCs w:val="22"/>
              </w:rPr>
              <w:t xml:space="preserve">TF-CBT; </w:t>
            </w:r>
            <w:r w:rsidRPr="00895080">
              <w:rPr>
                <w:rFonts w:asciiTheme="majorHAnsi" w:hAnsiTheme="majorHAnsi" w:cstheme="majorHAnsi"/>
                <w:sz w:val="22"/>
                <w:szCs w:val="22"/>
              </w:rPr>
              <w:t>guest speaker</w:t>
            </w:r>
          </w:p>
        </w:tc>
        <w:tc>
          <w:tcPr>
            <w:tcW w:w="3330" w:type="dxa"/>
          </w:tcPr>
          <w:p w14:paraId="27D068E7" w14:textId="77777777" w:rsidR="000D2800" w:rsidRPr="00895080" w:rsidRDefault="00F212F3" w:rsidP="000D2800">
            <w:pPr>
              <w:rPr>
                <w:rFonts w:asciiTheme="majorHAnsi" w:hAnsiTheme="majorHAnsi" w:cstheme="majorHAnsi"/>
                <w:sz w:val="22"/>
                <w:szCs w:val="22"/>
              </w:rPr>
            </w:pPr>
            <w:r w:rsidRPr="00895080">
              <w:rPr>
                <w:rFonts w:asciiTheme="majorHAnsi" w:hAnsiTheme="majorHAnsi" w:cstheme="majorHAnsi"/>
                <w:sz w:val="22"/>
                <w:szCs w:val="22"/>
              </w:rPr>
              <w:t>Trauma</w:t>
            </w:r>
          </w:p>
          <w:p w14:paraId="68B9DE4E" w14:textId="38EDA548" w:rsidR="008F6B0D" w:rsidRPr="00895080" w:rsidRDefault="008F6B0D" w:rsidP="00F212F3">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Bremner</w:t>
            </w:r>
            <w:proofErr w:type="spellEnd"/>
            <w:r w:rsidRPr="00895080">
              <w:rPr>
                <w:rFonts w:asciiTheme="majorHAnsi" w:eastAsia="Calibri" w:hAnsiTheme="majorHAnsi" w:cstheme="majorHAnsi"/>
                <w:sz w:val="22"/>
                <w:szCs w:val="22"/>
              </w:rPr>
              <w:t xml:space="preserv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2000)</w:t>
            </w:r>
          </w:p>
          <w:p w14:paraId="0D97AA9D" w14:textId="35ECC61A" w:rsidR="00F212F3" w:rsidRPr="00895080" w:rsidRDefault="00F212F3" w:rsidP="00F212F3">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Grant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2020)</w:t>
            </w:r>
          </w:p>
          <w:p w14:paraId="00D39EA9" w14:textId="4AA56650" w:rsidR="00F212F3" w:rsidRPr="00895080" w:rsidRDefault="00F212F3" w:rsidP="00F212F3">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Cohen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2010)</w:t>
            </w:r>
          </w:p>
          <w:p w14:paraId="65C2A55A" w14:textId="06E69A0B" w:rsidR="00F212F3" w:rsidRPr="00895080" w:rsidRDefault="00F212F3" w:rsidP="00F212F3">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Milojevich</w:t>
            </w:r>
            <w:proofErr w:type="spellEnd"/>
            <w:r w:rsidRPr="00895080">
              <w:rPr>
                <w:rFonts w:asciiTheme="majorHAnsi" w:eastAsia="Calibri" w:hAnsiTheme="majorHAnsi" w:cstheme="majorHAnsi"/>
                <w:sz w:val="22"/>
                <w:szCs w:val="22"/>
              </w:rPr>
              <w:t xml:space="preserve"> &amp; Wolfe (2020)</w:t>
            </w:r>
          </w:p>
        </w:tc>
        <w:tc>
          <w:tcPr>
            <w:tcW w:w="1800" w:type="dxa"/>
          </w:tcPr>
          <w:p w14:paraId="774E4D87" w14:textId="77777777" w:rsidR="000D2800" w:rsidRPr="00895080" w:rsidRDefault="000D2800">
            <w:pPr>
              <w:rPr>
                <w:rFonts w:asciiTheme="majorHAnsi" w:hAnsiTheme="majorHAnsi" w:cstheme="majorHAnsi"/>
                <w:sz w:val="22"/>
                <w:szCs w:val="22"/>
              </w:rPr>
            </w:pPr>
          </w:p>
        </w:tc>
      </w:tr>
      <w:tr w:rsidR="000D2800" w:rsidRPr="0017166B" w14:paraId="120BF006" w14:textId="77777777" w:rsidTr="00996803">
        <w:tc>
          <w:tcPr>
            <w:tcW w:w="745" w:type="dxa"/>
          </w:tcPr>
          <w:p w14:paraId="06A1F950" w14:textId="55507BF0"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13</w:t>
            </w:r>
          </w:p>
        </w:tc>
        <w:tc>
          <w:tcPr>
            <w:tcW w:w="780" w:type="dxa"/>
          </w:tcPr>
          <w:p w14:paraId="0EE62205" w14:textId="2AFAC4B2"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4/6</w:t>
            </w:r>
          </w:p>
        </w:tc>
        <w:tc>
          <w:tcPr>
            <w:tcW w:w="3240" w:type="dxa"/>
          </w:tcPr>
          <w:p w14:paraId="2DB3D6E2" w14:textId="04BC74E1" w:rsidR="000D2800" w:rsidRPr="00895080" w:rsidRDefault="00B412C5" w:rsidP="005C530C">
            <w:pPr>
              <w:ind w:right="-113"/>
              <w:rPr>
                <w:rFonts w:asciiTheme="majorHAnsi" w:hAnsiTheme="majorHAnsi" w:cstheme="majorHAnsi"/>
                <w:sz w:val="22"/>
                <w:szCs w:val="22"/>
              </w:rPr>
            </w:pPr>
            <w:r w:rsidRPr="00895080">
              <w:rPr>
                <w:rFonts w:asciiTheme="majorHAnsi" w:hAnsiTheme="majorHAnsi" w:cstheme="majorHAnsi"/>
                <w:sz w:val="22"/>
                <w:szCs w:val="22"/>
              </w:rPr>
              <w:t>Ax &amp; Tx considerations in working with immigrants (1</w:t>
            </w:r>
            <w:r w:rsidRPr="00895080">
              <w:rPr>
                <w:rFonts w:asciiTheme="majorHAnsi" w:hAnsiTheme="majorHAnsi" w:cstheme="majorHAnsi"/>
                <w:sz w:val="22"/>
                <w:szCs w:val="22"/>
                <w:vertAlign w:val="superscript"/>
              </w:rPr>
              <w:t>st</w:t>
            </w:r>
            <w:r w:rsidRPr="00895080">
              <w:rPr>
                <w:rFonts w:asciiTheme="majorHAnsi" w:hAnsiTheme="majorHAnsi" w:cstheme="majorHAnsi"/>
                <w:sz w:val="22"/>
                <w:szCs w:val="22"/>
              </w:rPr>
              <w:t xml:space="preserve"> &amp; 2</w:t>
            </w:r>
            <w:r w:rsidRPr="00895080">
              <w:rPr>
                <w:rFonts w:asciiTheme="majorHAnsi" w:hAnsiTheme="majorHAnsi" w:cstheme="majorHAnsi"/>
                <w:sz w:val="22"/>
                <w:szCs w:val="22"/>
                <w:vertAlign w:val="superscript"/>
              </w:rPr>
              <w:t>nd</w:t>
            </w:r>
            <w:r w:rsidRPr="00895080">
              <w:rPr>
                <w:rFonts w:asciiTheme="majorHAnsi" w:hAnsiTheme="majorHAnsi" w:cstheme="majorHAnsi"/>
                <w:sz w:val="22"/>
                <w:szCs w:val="22"/>
              </w:rPr>
              <w:t xml:space="preserve"> gen)</w:t>
            </w:r>
          </w:p>
        </w:tc>
        <w:tc>
          <w:tcPr>
            <w:tcW w:w="3330" w:type="dxa"/>
          </w:tcPr>
          <w:p w14:paraId="4D670816" w14:textId="0347BBA9" w:rsidR="003F6C85" w:rsidRPr="00895080" w:rsidRDefault="00B412C5" w:rsidP="00B412C5">
            <w:pPr>
              <w:pStyle w:val="ListParagraph"/>
              <w:ind w:left="0"/>
              <w:rPr>
                <w:rFonts w:asciiTheme="majorHAnsi" w:eastAsia="Calibri" w:hAnsiTheme="majorHAnsi" w:cstheme="majorHAnsi"/>
                <w:sz w:val="22"/>
                <w:szCs w:val="22"/>
              </w:rPr>
            </w:pPr>
            <w:r w:rsidRPr="00895080">
              <w:rPr>
                <w:rFonts w:asciiTheme="majorHAnsi" w:eastAsia="Calibri" w:hAnsiTheme="majorHAnsi" w:cstheme="majorHAnsi"/>
                <w:sz w:val="22"/>
                <w:szCs w:val="22"/>
              </w:rPr>
              <w:t>Immigrants</w:t>
            </w:r>
          </w:p>
          <w:p w14:paraId="3E02D85B" w14:textId="77777777" w:rsidR="00B412C5" w:rsidRPr="00895080" w:rsidRDefault="00B412C5" w:rsidP="00B412C5">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Lee &amp; Neese (2020)</w:t>
            </w:r>
          </w:p>
          <w:p w14:paraId="73D54744" w14:textId="77777777" w:rsidR="00B412C5" w:rsidRDefault="00B412C5" w:rsidP="00B412C5">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Sue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2019)</w:t>
            </w:r>
          </w:p>
          <w:p w14:paraId="6747775D" w14:textId="343F1A00" w:rsidR="001A3050" w:rsidRPr="00895080" w:rsidRDefault="001A3050" w:rsidP="001A3050">
            <w:pPr>
              <w:pStyle w:val="ListParagraph"/>
              <w:ind w:left="500"/>
              <w:rPr>
                <w:rFonts w:asciiTheme="majorHAnsi" w:eastAsia="Calibri" w:hAnsiTheme="majorHAnsi" w:cstheme="majorHAnsi"/>
                <w:sz w:val="22"/>
                <w:szCs w:val="22"/>
              </w:rPr>
            </w:pPr>
          </w:p>
        </w:tc>
        <w:tc>
          <w:tcPr>
            <w:tcW w:w="1800" w:type="dxa"/>
          </w:tcPr>
          <w:p w14:paraId="3BBB0DC4" w14:textId="77777777" w:rsidR="000D2800" w:rsidRPr="00895080" w:rsidRDefault="000D2800">
            <w:pPr>
              <w:rPr>
                <w:rFonts w:asciiTheme="majorHAnsi" w:hAnsiTheme="majorHAnsi" w:cstheme="majorHAnsi"/>
                <w:sz w:val="22"/>
                <w:szCs w:val="22"/>
              </w:rPr>
            </w:pPr>
          </w:p>
        </w:tc>
      </w:tr>
      <w:tr w:rsidR="00B412C5" w:rsidRPr="0017166B" w14:paraId="0B627EF0" w14:textId="77777777" w:rsidTr="00996803">
        <w:tc>
          <w:tcPr>
            <w:tcW w:w="745" w:type="dxa"/>
          </w:tcPr>
          <w:p w14:paraId="210C6173" w14:textId="68508CE2" w:rsidR="00B412C5" w:rsidRPr="00895080" w:rsidRDefault="00B412C5" w:rsidP="00B412C5">
            <w:pPr>
              <w:jc w:val="center"/>
              <w:rPr>
                <w:rFonts w:asciiTheme="majorHAnsi" w:hAnsiTheme="majorHAnsi" w:cstheme="majorHAnsi"/>
                <w:sz w:val="22"/>
                <w:szCs w:val="22"/>
              </w:rPr>
            </w:pPr>
            <w:r w:rsidRPr="00895080">
              <w:rPr>
                <w:rFonts w:asciiTheme="majorHAnsi" w:hAnsiTheme="majorHAnsi" w:cstheme="majorHAnsi"/>
                <w:sz w:val="22"/>
                <w:szCs w:val="22"/>
              </w:rPr>
              <w:lastRenderedPageBreak/>
              <w:t>14</w:t>
            </w:r>
          </w:p>
        </w:tc>
        <w:tc>
          <w:tcPr>
            <w:tcW w:w="780" w:type="dxa"/>
          </w:tcPr>
          <w:p w14:paraId="73032F53" w14:textId="3C43B268" w:rsidR="00B412C5" w:rsidRPr="00895080" w:rsidRDefault="00B412C5" w:rsidP="00B412C5">
            <w:pPr>
              <w:jc w:val="center"/>
              <w:rPr>
                <w:rFonts w:asciiTheme="majorHAnsi" w:hAnsiTheme="majorHAnsi" w:cstheme="majorHAnsi"/>
                <w:sz w:val="22"/>
                <w:szCs w:val="22"/>
              </w:rPr>
            </w:pPr>
            <w:r w:rsidRPr="00895080">
              <w:rPr>
                <w:rFonts w:asciiTheme="majorHAnsi" w:hAnsiTheme="majorHAnsi" w:cstheme="majorHAnsi"/>
                <w:sz w:val="22"/>
                <w:szCs w:val="22"/>
              </w:rPr>
              <w:t>4/13</w:t>
            </w:r>
          </w:p>
        </w:tc>
        <w:tc>
          <w:tcPr>
            <w:tcW w:w="3240" w:type="dxa"/>
          </w:tcPr>
          <w:p w14:paraId="5C3B65FB" w14:textId="5CBBA691" w:rsidR="00B412C5" w:rsidRPr="00895080" w:rsidRDefault="00B412C5" w:rsidP="00B412C5">
            <w:pPr>
              <w:ind w:right="-113"/>
              <w:rPr>
                <w:rFonts w:asciiTheme="majorHAnsi" w:hAnsiTheme="majorHAnsi" w:cstheme="majorHAnsi"/>
                <w:sz w:val="22"/>
                <w:szCs w:val="22"/>
              </w:rPr>
            </w:pPr>
            <w:r w:rsidRPr="00895080">
              <w:rPr>
                <w:rFonts w:asciiTheme="majorHAnsi" w:hAnsiTheme="majorHAnsi" w:cstheme="majorHAnsi"/>
                <w:sz w:val="22"/>
                <w:szCs w:val="22"/>
              </w:rPr>
              <w:t xml:space="preserve">Ax &amp; Tx considerations in military veterans; </w:t>
            </w:r>
          </w:p>
        </w:tc>
        <w:tc>
          <w:tcPr>
            <w:tcW w:w="3330" w:type="dxa"/>
          </w:tcPr>
          <w:p w14:paraId="492B3CE6" w14:textId="77777777" w:rsidR="00B412C5" w:rsidRPr="00895080" w:rsidRDefault="00B412C5" w:rsidP="00B412C5">
            <w:pPr>
              <w:rPr>
                <w:rFonts w:asciiTheme="majorHAnsi" w:hAnsiTheme="majorHAnsi" w:cstheme="majorHAnsi"/>
                <w:sz w:val="22"/>
                <w:szCs w:val="22"/>
              </w:rPr>
            </w:pPr>
            <w:r w:rsidRPr="00895080">
              <w:rPr>
                <w:rFonts w:asciiTheme="majorHAnsi" w:hAnsiTheme="majorHAnsi" w:cstheme="majorHAnsi"/>
                <w:sz w:val="22"/>
                <w:szCs w:val="22"/>
              </w:rPr>
              <w:t>Military veterans</w:t>
            </w:r>
          </w:p>
          <w:p w14:paraId="23C06548" w14:textId="759983B4" w:rsidR="00DC3706" w:rsidRPr="00895080" w:rsidRDefault="00B412C5" w:rsidP="00B412C5">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Back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2019)</w:t>
            </w:r>
          </w:p>
          <w:p w14:paraId="37728EC7" w14:textId="50D254FA" w:rsidR="00B412C5" w:rsidRPr="00895080" w:rsidRDefault="00B412C5" w:rsidP="00B412C5">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Elbogen</w:t>
            </w:r>
            <w:proofErr w:type="spellEnd"/>
            <w:r w:rsidRPr="00895080">
              <w:rPr>
                <w:rFonts w:asciiTheme="majorHAnsi" w:eastAsia="Calibri" w:hAnsiTheme="majorHAnsi" w:cstheme="majorHAnsi"/>
                <w:sz w:val="22"/>
                <w:szCs w:val="22"/>
              </w:rPr>
              <w:t xml:space="preserv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2019)</w:t>
            </w:r>
          </w:p>
          <w:p w14:paraId="55D9A1CD" w14:textId="5C52D620" w:rsidR="00626ABA" w:rsidRPr="00895080" w:rsidRDefault="00626ABA" w:rsidP="00B412C5">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Ringer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2018)</w:t>
            </w:r>
          </w:p>
          <w:p w14:paraId="46A92C10" w14:textId="62DEC66B" w:rsidR="00FC63F4" w:rsidRPr="00895080" w:rsidRDefault="00FC63F4" w:rsidP="00B412C5">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Stecker</w:t>
            </w:r>
            <w:proofErr w:type="spellEnd"/>
            <w:r w:rsidRPr="00895080">
              <w:rPr>
                <w:rFonts w:asciiTheme="majorHAnsi" w:eastAsia="Calibri" w:hAnsiTheme="majorHAnsi" w:cstheme="majorHAnsi"/>
                <w:sz w:val="22"/>
                <w:szCs w:val="22"/>
              </w:rPr>
              <w:t xml:space="preserve"> </w:t>
            </w:r>
            <w:proofErr w:type="gramStart"/>
            <w:r w:rsidRPr="00895080">
              <w:rPr>
                <w:rFonts w:asciiTheme="majorHAnsi" w:eastAsia="Calibri" w:hAnsiTheme="majorHAnsi" w:cstheme="majorHAnsi"/>
                <w:sz w:val="22"/>
                <w:szCs w:val="22"/>
              </w:rPr>
              <w:t>et</w:t>
            </w:r>
            <w:r w:rsidR="0017166B">
              <w:rPr>
                <w:rFonts w:asciiTheme="majorHAnsi" w:eastAsia="Calibri" w:hAnsiTheme="majorHAnsi" w:cstheme="majorHAnsi"/>
                <w:sz w:val="22"/>
                <w:szCs w:val="22"/>
              </w:rPr>
              <w:t xml:space="preserve"> 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2007)</w:t>
            </w:r>
          </w:p>
          <w:p w14:paraId="6DC43E80" w14:textId="0E65D314" w:rsidR="00626ABA" w:rsidRPr="00895080" w:rsidRDefault="00626ABA" w:rsidP="00B412C5">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Naionall</w:t>
            </w:r>
            <w:proofErr w:type="spellEnd"/>
            <w:r w:rsidRPr="00895080">
              <w:rPr>
                <w:rFonts w:asciiTheme="majorHAnsi" w:eastAsia="Calibri" w:hAnsiTheme="majorHAnsi" w:cstheme="majorHAnsi"/>
                <w:sz w:val="22"/>
                <w:szCs w:val="22"/>
              </w:rPr>
              <w:t xml:space="preserve"> Academies of Science, Engineering, and Medicine (2018)</w:t>
            </w:r>
          </w:p>
        </w:tc>
        <w:tc>
          <w:tcPr>
            <w:tcW w:w="1800" w:type="dxa"/>
          </w:tcPr>
          <w:p w14:paraId="1C9E990E" w14:textId="77777777" w:rsidR="00B412C5" w:rsidRPr="00895080" w:rsidRDefault="00B412C5" w:rsidP="00B412C5">
            <w:pPr>
              <w:rPr>
                <w:rFonts w:asciiTheme="majorHAnsi" w:hAnsiTheme="majorHAnsi" w:cstheme="majorHAnsi"/>
                <w:sz w:val="22"/>
                <w:szCs w:val="22"/>
              </w:rPr>
            </w:pPr>
          </w:p>
        </w:tc>
      </w:tr>
      <w:tr w:rsidR="000D2800" w:rsidRPr="0017166B" w14:paraId="23848B93" w14:textId="77777777" w:rsidTr="00996803">
        <w:tc>
          <w:tcPr>
            <w:tcW w:w="745" w:type="dxa"/>
          </w:tcPr>
          <w:p w14:paraId="1F49CBDC" w14:textId="40572EE8"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15</w:t>
            </w:r>
          </w:p>
        </w:tc>
        <w:tc>
          <w:tcPr>
            <w:tcW w:w="780" w:type="dxa"/>
          </w:tcPr>
          <w:p w14:paraId="6D1E6813" w14:textId="20885279"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4/20</w:t>
            </w:r>
          </w:p>
        </w:tc>
        <w:tc>
          <w:tcPr>
            <w:tcW w:w="3240" w:type="dxa"/>
          </w:tcPr>
          <w:p w14:paraId="428B80BC" w14:textId="1E33B04F" w:rsidR="000D2800" w:rsidRPr="00895080" w:rsidRDefault="008F6B0D" w:rsidP="005C530C">
            <w:pPr>
              <w:ind w:right="-113"/>
              <w:rPr>
                <w:rFonts w:asciiTheme="majorHAnsi" w:hAnsiTheme="majorHAnsi" w:cstheme="majorHAnsi"/>
                <w:sz w:val="22"/>
                <w:szCs w:val="22"/>
              </w:rPr>
            </w:pPr>
            <w:r w:rsidRPr="00895080">
              <w:rPr>
                <w:rFonts w:asciiTheme="majorHAnsi" w:hAnsiTheme="majorHAnsi" w:cstheme="majorHAnsi"/>
                <w:sz w:val="22"/>
                <w:szCs w:val="22"/>
              </w:rPr>
              <w:t>Ax &amp; Tx considerations in working with the elderly</w:t>
            </w:r>
          </w:p>
        </w:tc>
        <w:tc>
          <w:tcPr>
            <w:tcW w:w="3330" w:type="dxa"/>
          </w:tcPr>
          <w:p w14:paraId="688D42A6" w14:textId="77777777" w:rsidR="000D2800" w:rsidRPr="00895080" w:rsidRDefault="008F6B0D" w:rsidP="000D2800">
            <w:pPr>
              <w:rPr>
                <w:rFonts w:asciiTheme="majorHAnsi" w:hAnsiTheme="majorHAnsi" w:cstheme="majorHAnsi"/>
                <w:sz w:val="22"/>
                <w:szCs w:val="22"/>
              </w:rPr>
            </w:pPr>
            <w:r w:rsidRPr="00895080">
              <w:rPr>
                <w:rFonts w:asciiTheme="majorHAnsi" w:hAnsiTheme="majorHAnsi" w:cstheme="majorHAnsi"/>
                <w:sz w:val="22"/>
                <w:szCs w:val="22"/>
              </w:rPr>
              <w:t>Elderly</w:t>
            </w:r>
          </w:p>
          <w:p w14:paraId="03D9AD9F" w14:textId="07EDBC46" w:rsidR="008F6B0D" w:rsidRDefault="008F6B0D" w:rsidP="008F6B0D">
            <w:pPr>
              <w:pStyle w:val="ListParagraph"/>
              <w:numPr>
                <w:ilvl w:val="0"/>
                <w:numId w:val="7"/>
              </w:numPr>
              <w:rPr>
                <w:rFonts w:asciiTheme="majorHAnsi" w:eastAsia="Calibri" w:hAnsiTheme="majorHAnsi" w:cstheme="majorHAnsi"/>
                <w:sz w:val="22"/>
                <w:szCs w:val="22"/>
              </w:rPr>
            </w:pPr>
            <w:proofErr w:type="spellStart"/>
            <w:r w:rsidRPr="00895080">
              <w:rPr>
                <w:rFonts w:asciiTheme="majorHAnsi" w:eastAsia="Calibri" w:hAnsiTheme="majorHAnsi" w:cstheme="majorHAnsi"/>
                <w:sz w:val="22"/>
                <w:szCs w:val="22"/>
              </w:rPr>
              <w:t>Ramaprasad</w:t>
            </w:r>
            <w:proofErr w:type="spellEnd"/>
            <w:r w:rsidRPr="00895080">
              <w:rPr>
                <w:rFonts w:asciiTheme="majorHAnsi" w:eastAsia="Calibri" w:hAnsiTheme="majorHAnsi" w:cstheme="majorHAnsi"/>
                <w:sz w:val="22"/>
                <w:szCs w:val="22"/>
              </w:rPr>
              <w:t>,</w:t>
            </w:r>
            <w:r w:rsidR="0017166B">
              <w:rPr>
                <w:rFonts w:asciiTheme="majorHAnsi" w:eastAsia="Calibri" w:hAnsiTheme="majorHAnsi" w:cstheme="majorHAnsi"/>
                <w:sz w:val="22"/>
                <w:szCs w:val="22"/>
              </w:rPr>
              <w:t xml:space="preserve"> </w:t>
            </w:r>
            <w:proofErr w:type="gramStart"/>
            <w:r w:rsidRPr="00895080">
              <w:rPr>
                <w:rFonts w:asciiTheme="majorHAnsi" w:eastAsia="Calibri" w:hAnsiTheme="majorHAnsi" w:cstheme="majorHAnsi"/>
                <w:sz w:val="22"/>
                <w:szCs w:val="22"/>
              </w:rPr>
              <w:t xml:space="preserve">et </w:t>
            </w:r>
            <w:r w:rsidR="0017166B">
              <w:rPr>
                <w:rFonts w:asciiTheme="majorHAnsi" w:eastAsia="Calibri" w:hAnsiTheme="majorHAnsi" w:cstheme="majorHAnsi"/>
                <w:sz w:val="22"/>
                <w:szCs w:val="22"/>
              </w:rPr>
              <w:t>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2015)</w:t>
            </w:r>
          </w:p>
          <w:p w14:paraId="465C7EB4" w14:textId="01EDD739" w:rsidR="00FC2199" w:rsidRPr="00895080" w:rsidRDefault="00FC2199" w:rsidP="008F6B0D">
            <w:pPr>
              <w:pStyle w:val="ListParagraph"/>
              <w:numPr>
                <w:ilvl w:val="0"/>
                <w:numId w:val="7"/>
              </w:numPr>
              <w:rPr>
                <w:rFonts w:asciiTheme="majorHAnsi" w:eastAsia="Calibri" w:hAnsiTheme="majorHAnsi" w:cstheme="majorHAnsi"/>
                <w:sz w:val="22"/>
                <w:szCs w:val="22"/>
              </w:rPr>
            </w:pPr>
            <w:r>
              <w:rPr>
                <w:rFonts w:asciiTheme="majorHAnsi" w:eastAsia="Calibri" w:hAnsiTheme="majorHAnsi" w:cstheme="majorHAnsi"/>
                <w:sz w:val="22"/>
                <w:szCs w:val="22"/>
              </w:rPr>
              <w:t>Sheehan (2012)</w:t>
            </w:r>
          </w:p>
          <w:p w14:paraId="7CD6926C" w14:textId="167F6BC9" w:rsidR="008F6B0D" w:rsidRPr="00895080" w:rsidRDefault="008F6B0D" w:rsidP="008F6B0D">
            <w:pPr>
              <w:pStyle w:val="ListParagraph"/>
              <w:numPr>
                <w:ilvl w:val="0"/>
                <w:numId w:val="7"/>
              </w:numPr>
              <w:rPr>
                <w:rFonts w:asciiTheme="majorHAnsi" w:eastAsia="Calibri" w:hAnsiTheme="majorHAnsi" w:cstheme="majorHAnsi"/>
                <w:sz w:val="22"/>
                <w:szCs w:val="22"/>
              </w:rPr>
            </w:pPr>
            <w:r w:rsidRPr="00895080">
              <w:rPr>
                <w:rFonts w:asciiTheme="majorHAnsi" w:eastAsia="Calibri" w:hAnsiTheme="majorHAnsi" w:cstheme="majorHAnsi"/>
                <w:sz w:val="22"/>
                <w:szCs w:val="22"/>
              </w:rPr>
              <w:t xml:space="preserve">Sue, </w:t>
            </w:r>
            <w:proofErr w:type="gramStart"/>
            <w:r w:rsidRPr="00895080">
              <w:rPr>
                <w:rFonts w:asciiTheme="majorHAnsi" w:eastAsia="Calibri" w:hAnsiTheme="majorHAnsi" w:cstheme="majorHAnsi"/>
                <w:sz w:val="22"/>
                <w:szCs w:val="22"/>
              </w:rPr>
              <w:t xml:space="preserve">et </w:t>
            </w:r>
            <w:r w:rsidR="0017166B">
              <w:rPr>
                <w:rFonts w:asciiTheme="majorHAnsi" w:eastAsia="Calibri" w:hAnsiTheme="majorHAnsi" w:cstheme="majorHAnsi"/>
                <w:sz w:val="22"/>
                <w:szCs w:val="22"/>
              </w:rPr>
              <w:t>al.</w:t>
            </w:r>
            <w:r w:rsidRPr="00895080">
              <w:rPr>
                <w:rFonts w:asciiTheme="majorHAnsi" w:eastAsia="Calibri" w:hAnsiTheme="majorHAnsi" w:cstheme="majorHAnsi"/>
                <w:sz w:val="22"/>
                <w:szCs w:val="22"/>
              </w:rPr>
              <w:t>(</w:t>
            </w:r>
            <w:proofErr w:type="gramEnd"/>
            <w:r w:rsidRPr="00895080">
              <w:rPr>
                <w:rFonts w:asciiTheme="majorHAnsi" w:eastAsia="Calibri" w:hAnsiTheme="majorHAnsi" w:cstheme="majorHAnsi"/>
                <w:sz w:val="22"/>
                <w:szCs w:val="22"/>
              </w:rPr>
              <w:t>2019)</w:t>
            </w:r>
          </w:p>
        </w:tc>
        <w:tc>
          <w:tcPr>
            <w:tcW w:w="1800" w:type="dxa"/>
          </w:tcPr>
          <w:p w14:paraId="4EBC292D" w14:textId="124F82B4" w:rsidR="000D2800" w:rsidRPr="00895080" w:rsidRDefault="003F4EF6">
            <w:pPr>
              <w:rPr>
                <w:rFonts w:asciiTheme="majorHAnsi" w:hAnsiTheme="majorHAnsi" w:cstheme="majorHAnsi"/>
                <w:sz w:val="22"/>
                <w:szCs w:val="22"/>
              </w:rPr>
            </w:pPr>
            <w:r w:rsidRPr="00895080">
              <w:rPr>
                <w:rFonts w:asciiTheme="majorHAnsi" w:hAnsiTheme="majorHAnsi" w:cstheme="majorHAnsi"/>
                <w:sz w:val="22"/>
                <w:szCs w:val="22"/>
              </w:rPr>
              <w:t>Final Papers</w:t>
            </w:r>
          </w:p>
        </w:tc>
      </w:tr>
      <w:tr w:rsidR="000D2800" w:rsidRPr="0017166B" w14:paraId="7BBA385B" w14:textId="77777777" w:rsidTr="00996803">
        <w:tc>
          <w:tcPr>
            <w:tcW w:w="745" w:type="dxa"/>
          </w:tcPr>
          <w:p w14:paraId="62FD3F75" w14:textId="422964B1"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16</w:t>
            </w:r>
          </w:p>
        </w:tc>
        <w:tc>
          <w:tcPr>
            <w:tcW w:w="780" w:type="dxa"/>
          </w:tcPr>
          <w:p w14:paraId="28785D79" w14:textId="1AC5EDFD" w:rsidR="000D2800" w:rsidRPr="00895080" w:rsidRDefault="000D2800">
            <w:pPr>
              <w:jc w:val="center"/>
              <w:rPr>
                <w:rFonts w:asciiTheme="majorHAnsi" w:hAnsiTheme="majorHAnsi" w:cstheme="majorHAnsi"/>
                <w:sz w:val="22"/>
                <w:szCs w:val="22"/>
              </w:rPr>
            </w:pPr>
            <w:r w:rsidRPr="00895080">
              <w:rPr>
                <w:rFonts w:asciiTheme="majorHAnsi" w:hAnsiTheme="majorHAnsi" w:cstheme="majorHAnsi"/>
                <w:sz w:val="22"/>
                <w:szCs w:val="22"/>
              </w:rPr>
              <w:t>4/27</w:t>
            </w:r>
          </w:p>
        </w:tc>
        <w:tc>
          <w:tcPr>
            <w:tcW w:w="3240" w:type="dxa"/>
          </w:tcPr>
          <w:p w14:paraId="2CA6A900" w14:textId="47B6C08B" w:rsidR="000D2800" w:rsidRPr="00895080" w:rsidRDefault="00B412C5" w:rsidP="005C530C">
            <w:pPr>
              <w:ind w:right="-113"/>
              <w:rPr>
                <w:rFonts w:asciiTheme="majorHAnsi" w:hAnsiTheme="majorHAnsi" w:cstheme="majorHAnsi"/>
                <w:sz w:val="22"/>
                <w:szCs w:val="22"/>
              </w:rPr>
            </w:pPr>
            <w:r w:rsidRPr="00895080">
              <w:rPr>
                <w:rFonts w:asciiTheme="majorHAnsi" w:hAnsiTheme="majorHAnsi" w:cstheme="majorHAnsi"/>
                <w:sz w:val="22"/>
                <w:szCs w:val="22"/>
              </w:rPr>
              <w:t xml:space="preserve">Final week – </w:t>
            </w:r>
            <w:r w:rsidR="00DD32EB" w:rsidRPr="00895080">
              <w:rPr>
                <w:rFonts w:asciiTheme="majorHAnsi" w:hAnsiTheme="majorHAnsi" w:cstheme="majorHAnsi"/>
                <w:sz w:val="22"/>
                <w:szCs w:val="22"/>
              </w:rPr>
              <w:t>no class</w:t>
            </w:r>
          </w:p>
        </w:tc>
        <w:tc>
          <w:tcPr>
            <w:tcW w:w="3330" w:type="dxa"/>
          </w:tcPr>
          <w:p w14:paraId="10AE27C4" w14:textId="77777777" w:rsidR="000D2800" w:rsidRPr="00895080" w:rsidRDefault="000D2800" w:rsidP="000D2800">
            <w:pPr>
              <w:rPr>
                <w:rFonts w:asciiTheme="majorHAnsi" w:hAnsiTheme="majorHAnsi" w:cstheme="majorHAnsi"/>
                <w:sz w:val="22"/>
                <w:szCs w:val="22"/>
              </w:rPr>
            </w:pPr>
          </w:p>
        </w:tc>
        <w:tc>
          <w:tcPr>
            <w:tcW w:w="1800" w:type="dxa"/>
          </w:tcPr>
          <w:p w14:paraId="0438379D" w14:textId="77777777" w:rsidR="000D2800" w:rsidRPr="00895080" w:rsidRDefault="000D2800">
            <w:pPr>
              <w:rPr>
                <w:rFonts w:asciiTheme="majorHAnsi" w:hAnsiTheme="majorHAnsi" w:cstheme="majorHAnsi"/>
                <w:sz w:val="22"/>
                <w:szCs w:val="22"/>
              </w:rPr>
            </w:pPr>
          </w:p>
        </w:tc>
      </w:tr>
    </w:tbl>
    <w:p w14:paraId="7F374FC2" w14:textId="67678D9F" w:rsidR="00FD5520" w:rsidRPr="00050D2E" w:rsidRDefault="000022E4">
      <w:pPr>
        <w:widowControl w:val="0"/>
        <w:ind w:left="720" w:right="-20" w:hanging="720"/>
        <w:rPr>
          <w:rFonts w:ascii="Calibri" w:eastAsia="Calibri" w:hAnsi="Calibri" w:cs="Calibri"/>
          <w:sz w:val="20"/>
          <w:szCs w:val="20"/>
        </w:rPr>
      </w:pPr>
      <w:r w:rsidRPr="00050D2E">
        <w:rPr>
          <w:rFonts w:ascii="Calibri" w:eastAsia="Calibri" w:hAnsi="Calibri" w:cs="Calibri"/>
          <w:i/>
          <w:sz w:val="20"/>
          <w:szCs w:val="20"/>
        </w:rPr>
        <w:t xml:space="preserve"> </w:t>
      </w:r>
    </w:p>
    <w:sectPr w:rsidR="00FD5520" w:rsidRPr="00050D2E">
      <w:headerReference w:type="even" r:id="rId33"/>
      <w:headerReference w:type="default" r:id="rId34"/>
      <w:footerReference w:type="even" r:id="rId35"/>
      <w:footerReference w:type="default" r:id="rId36"/>
      <w:headerReference w:type="first" r:id="rId37"/>
      <w:footerReference w:type="first" r:id="rId38"/>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E8F78" w14:textId="77777777" w:rsidR="00EF1F90" w:rsidRDefault="00EF1F90" w:rsidP="00C331A9">
      <w:r>
        <w:separator/>
      </w:r>
    </w:p>
  </w:endnote>
  <w:endnote w:type="continuationSeparator" w:id="0">
    <w:p w14:paraId="1A0C17DC" w14:textId="77777777" w:rsidR="00EF1F90" w:rsidRDefault="00EF1F90" w:rsidP="00C3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C282F" w14:textId="77777777" w:rsidR="00FC63F4" w:rsidRDefault="00FC63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A99DB" w14:textId="77777777" w:rsidR="00FC63F4" w:rsidRDefault="00FC63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A895F" w14:textId="77777777" w:rsidR="00FC63F4" w:rsidRDefault="00FC6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1A29F" w14:textId="77777777" w:rsidR="00EF1F90" w:rsidRDefault="00EF1F90" w:rsidP="00C331A9">
      <w:r>
        <w:separator/>
      </w:r>
    </w:p>
  </w:footnote>
  <w:footnote w:type="continuationSeparator" w:id="0">
    <w:p w14:paraId="64B7AF35" w14:textId="77777777" w:rsidR="00EF1F90" w:rsidRDefault="00EF1F90" w:rsidP="00C33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95F00" w14:textId="77777777" w:rsidR="00FC63F4" w:rsidRDefault="00FC63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E630A" w14:textId="77777777" w:rsidR="00FC63F4" w:rsidRDefault="00FC63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4C366" w14:textId="77777777" w:rsidR="00FC63F4" w:rsidRDefault="00FC63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D1A4B"/>
    <w:multiLevelType w:val="multilevel"/>
    <w:tmpl w:val="DD20A7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ED4217"/>
    <w:multiLevelType w:val="multilevel"/>
    <w:tmpl w:val="498E39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5F95DAC"/>
    <w:multiLevelType w:val="multilevel"/>
    <w:tmpl w:val="D954E58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510736BF"/>
    <w:multiLevelType w:val="hybridMultilevel"/>
    <w:tmpl w:val="F2F406FE"/>
    <w:lvl w:ilvl="0" w:tplc="04090001">
      <w:start w:val="1"/>
      <w:numFmt w:val="bullet"/>
      <w:lvlText w:val=""/>
      <w:lvlJc w:val="left"/>
      <w:pPr>
        <w:ind w:left="860" w:hanging="360"/>
      </w:pPr>
      <w:rPr>
        <w:rFonts w:ascii="Symbol" w:hAnsi="Symbol"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4" w15:restartNumberingAfterBreak="0">
    <w:nsid w:val="58F32278"/>
    <w:multiLevelType w:val="hybridMultilevel"/>
    <w:tmpl w:val="FC60A3A6"/>
    <w:lvl w:ilvl="0" w:tplc="841219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FB2441"/>
    <w:multiLevelType w:val="multilevel"/>
    <w:tmpl w:val="092E6A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9DD1A13"/>
    <w:multiLevelType w:val="multilevel"/>
    <w:tmpl w:val="FEE8B8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BB603AA"/>
    <w:multiLevelType w:val="hybridMultilevel"/>
    <w:tmpl w:val="F98AE6E0"/>
    <w:lvl w:ilvl="0" w:tplc="2594F9CE">
      <w:numFmt w:val="bullet"/>
      <w:lvlText w:val="-"/>
      <w:lvlJc w:val="left"/>
      <w:pPr>
        <w:ind w:left="500" w:hanging="360"/>
      </w:pPr>
      <w:rPr>
        <w:rFonts w:ascii="Calibri" w:eastAsia="Calibri" w:hAnsi="Calibri" w:cs="Calibri"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abstractNum w:abstractNumId="8" w15:restartNumberingAfterBreak="0">
    <w:nsid w:val="76600819"/>
    <w:multiLevelType w:val="multilevel"/>
    <w:tmpl w:val="95BA90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2"/>
  </w:num>
  <w:num w:numId="3">
    <w:abstractNumId w:val="5"/>
  </w:num>
  <w:num w:numId="4">
    <w:abstractNumId w:val="1"/>
  </w:num>
  <w:num w:numId="5">
    <w:abstractNumId w:val="0"/>
  </w:num>
  <w:num w:numId="6">
    <w:abstractNumId w:val="4"/>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520"/>
    <w:rsid w:val="000022E4"/>
    <w:rsid w:val="00012D1B"/>
    <w:rsid w:val="00017173"/>
    <w:rsid w:val="00042C91"/>
    <w:rsid w:val="00050D2E"/>
    <w:rsid w:val="000A5500"/>
    <w:rsid w:val="000C1E62"/>
    <w:rsid w:val="000D2800"/>
    <w:rsid w:val="000F0133"/>
    <w:rsid w:val="001010CD"/>
    <w:rsid w:val="00126DCE"/>
    <w:rsid w:val="0012760D"/>
    <w:rsid w:val="00141ABC"/>
    <w:rsid w:val="0017166B"/>
    <w:rsid w:val="001A3050"/>
    <w:rsid w:val="001E1246"/>
    <w:rsid w:val="00220F2D"/>
    <w:rsid w:val="002609E9"/>
    <w:rsid w:val="0028466A"/>
    <w:rsid w:val="002D508E"/>
    <w:rsid w:val="002E3E53"/>
    <w:rsid w:val="003279B8"/>
    <w:rsid w:val="00380C6F"/>
    <w:rsid w:val="003944E6"/>
    <w:rsid w:val="003A05FF"/>
    <w:rsid w:val="003C1601"/>
    <w:rsid w:val="003C4B0E"/>
    <w:rsid w:val="003E45B5"/>
    <w:rsid w:val="003E5B60"/>
    <w:rsid w:val="003F4EF6"/>
    <w:rsid w:val="003F6C85"/>
    <w:rsid w:val="00412BF2"/>
    <w:rsid w:val="00444287"/>
    <w:rsid w:val="0046402B"/>
    <w:rsid w:val="0047306C"/>
    <w:rsid w:val="004816B4"/>
    <w:rsid w:val="004B3018"/>
    <w:rsid w:val="004D597A"/>
    <w:rsid w:val="004F0708"/>
    <w:rsid w:val="0059524C"/>
    <w:rsid w:val="005B625A"/>
    <w:rsid w:val="005C1ECF"/>
    <w:rsid w:val="005C530C"/>
    <w:rsid w:val="005D73CB"/>
    <w:rsid w:val="005E317E"/>
    <w:rsid w:val="005F3CC2"/>
    <w:rsid w:val="0061735C"/>
    <w:rsid w:val="00626ABA"/>
    <w:rsid w:val="00634E18"/>
    <w:rsid w:val="006B3533"/>
    <w:rsid w:val="006C42EA"/>
    <w:rsid w:val="006D79A9"/>
    <w:rsid w:val="006E0F99"/>
    <w:rsid w:val="00700138"/>
    <w:rsid w:val="00707976"/>
    <w:rsid w:val="0071045B"/>
    <w:rsid w:val="007149B9"/>
    <w:rsid w:val="00727067"/>
    <w:rsid w:val="007563EC"/>
    <w:rsid w:val="0079329A"/>
    <w:rsid w:val="007A0415"/>
    <w:rsid w:val="007D165C"/>
    <w:rsid w:val="007D5786"/>
    <w:rsid w:val="007E21EF"/>
    <w:rsid w:val="00802E9A"/>
    <w:rsid w:val="00820F3F"/>
    <w:rsid w:val="008453F4"/>
    <w:rsid w:val="00863E93"/>
    <w:rsid w:val="008665DC"/>
    <w:rsid w:val="00875316"/>
    <w:rsid w:val="00891E63"/>
    <w:rsid w:val="0089321C"/>
    <w:rsid w:val="00895080"/>
    <w:rsid w:val="008C78BD"/>
    <w:rsid w:val="008E40B5"/>
    <w:rsid w:val="008F6B0D"/>
    <w:rsid w:val="00922C56"/>
    <w:rsid w:val="00931F63"/>
    <w:rsid w:val="00941F60"/>
    <w:rsid w:val="00955612"/>
    <w:rsid w:val="00975C92"/>
    <w:rsid w:val="00996803"/>
    <w:rsid w:val="00996F79"/>
    <w:rsid w:val="009A7558"/>
    <w:rsid w:val="009B306A"/>
    <w:rsid w:val="009C4F73"/>
    <w:rsid w:val="009C743F"/>
    <w:rsid w:val="009E194D"/>
    <w:rsid w:val="009E3DE6"/>
    <w:rsid w:val="00A03745"/>
    <w:rsid w:val="00A15B37"/>
    <w:rsid w:val="00A17EDC"/>
    <w:rsid w:val="00A31578"/>
    <w:rsid w:val="00A45D7E"/>
    <w:rsid w:val="00A464A4"/>
    <w:rsid w:val="00A76A96"/>
    <w:rsid w:val="00A94FF2"/>
    <w:rsid w:val="00AA5700"/>
    <w:rsid w:val="00AC1968"/>
    <w:rsid w:val="00AD3AA5"/>
    <w:rsid w:val="00B20F62"/>
    <w:rsid w:val="00B31C05"/>
    <w:rsid w:val="00B3394C"/>
    <w:rsid w:val="00B36EFD"/>
    <w:rsid w:val="00B412C5"/>
    <w:rsid w:val="00B476F2"/>
    <w:rsid w:val="00B52B32"/>
    <w:rsid w:val="00BC7E88"/>
    <w:rsid w:val="00BF1583"/>
    <w:rsid w:val="00C006F8"/>
    <w:rsid w:val="00C05BB1"/>
    <w:rsid w:val="00C13DB4"/>
    <w:rsid w:val="00C13FAA"/>
    <w:rsid w:val="00C272AD"/>
    <w:rsid w:val="00C331A9"/>
    <w:rsid w:val="00C874C7"/>
    <w:rsid w:val="00CB3238"/>
    <w:rsid w:val="00CC0BAB"/>
    <w:rsid w:val="00CE1BB3"/>
    <w:rsid w:val="00D308DE"/>
    <w:rsid w:val="00DA439F"/>
    <w:rsid w:val="00DC3706"/>
    <w:rsid w:val="00DC5C3C"/>
    <w:rsid w:val="00DD32EB"/>
    <w:rsid w:val="00DD3ED2"/>
    <w:rsid w:val="00E011F4"/>
    <w:rsid w:val="00E27B63"/>
    <w:rsid w:val="00E35E0E"/>
    <w:rsid w:val="00EC5296"/>
    <w:rsid w:val="00EF1F90"/>
    <w:rsid w:val="00EF4E62"/>
    <w:rsid w:val="00F049A5"/>
    <w:rsid w:val="00F128E6"/>
    <w:rsid w:val="00F212F3"/>
    <w:rsid w:val="00F23821"/>
    <w:rsid w:val="00F62BC7"/>
    <w:rsid w:val="00FA5908"/>
    <w:rsid w:val="00FB0504"/>
    <w:rsid w:val="00FC2199"/>
    <w:rsid w:val="00FC2433"/>
    <w:rsid w:val="00FC63F4"/>
    <w:rsid w:val="00FC7A23"/>
    <w:rsid w:val="00FD19E5"/>
    <w:rsid w:val="00FD2660"/>
    <w:rsid w:val="00FD5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7054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4E18"/>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link w:val="Heading2Char"/>
    <w:qFormat/>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link w:val="Heading3Char"/>
    <w:pPr>
      <w:keepNext/>
      <w:keepLines/>
      <w:spacing w:before="320" w:after="80"/>
      <w:outlineLvl w:val="2"/>
    </w:pPr>
    <w:rPr>
      <w:rFonts w:ascii="Calibri" w:eastAsia="Calibri" w:hAnsi="Calibri" w:cs="Calibri"/>
      <w:b/>
      <w:color w:val="434343"/>
      <w:sz w:val="23"/>
      <w:szCs w:val="23"/>
      <w:lang w:val="en"/>
    </w:rPr>
  </w:style>
  <w:style w:type="paragraph" w:styleId="Heading4">
    <w:name w:val="heading 4"/>
    <w:basedOn w:val="Normal"/>
    <w:next w:val="Normal"/>
    <w:pPr>
      <w:keepNext/>
      <w:keepLines/>
      <w:spacing w:before="280" w:after="80" w:line="276" w:lineRule="auto"/>
      <w:outlineLvl w:val="3"/>
    </w:pPr>
    <w:rPr>
      <w:rFonts w:ascii="Calibri" w:eastAsia="Calibri" w:hAnsi="Calibri" w:cs="Calibri"/>
      <w:b/>
      <w:color w:val="666666"/>
      <w:sz w:val="22"/>
      <w:szCs w:val="22"/>
      <w:lang w:val="en"/>
    </w:rPr>
  </w:style>
  <w:style w:type="paragraph" w:styleId="Heading5">
    <w:name w:val="heading 5"/>
    <w:basedOn w:val="Normal"/>
    <w:next w:val="Normal"/>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line="276" w:lineRule="auto"/>
    </w:pPr>
    <w:rPr>
      <w:rFonts w:ascii="Arial" w:eastAsia="Arial" w:hAnsi="Arial" w:cs="Arial"/>
      <w:sz w:val="52"/>
      <w:szCs w:val="52"/>
      <w:lang w:val="en"/>
    </w:r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lang w:val="en"/>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ind w:left="720"/>
      <w:contextualSpacing/>
    </w:p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p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 w:type="table" w:customStyle="1" w:styleId="a2">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3">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4">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paragraph" w:styleId="Footer">
    <w:name w:val="footer"/>
    <w:basedOn w:val="Normal"/>
    <w:link w:val="FooterChar"/>
    <w:uiPriority w:val="99"/>
    <w:unhideWhenUsed/>
    <w:rsid w:val="00C331A9"/>
    <w:pPr>
      <w:tabs>
        <w:tab w:val="center" w:pos="4680"/>
        <w:tab w:val="right" w:pos="9360"/>
      </w:tabs>
    </w:pPr>
    <w:rPr>
      <w:rFonts w:ascii="Arial" w:eastAsia="Arial" w:hAnsi="Arial" w:cs="Arial"/>
      <w:sz w:val="22"/>
      <w:szCs w:val="22"/>
      <w:lang w:val="en"/>
    </w:rPr>
  </w:style>
  <w:style w:type="character" w:customStyle="1" w:styleId="FooterChar">
    <w:name w:val="Footer Char"/>
    <w:basedOn w:val="DefaultParagraphFont"/>
    <w:link w:val="Footer"/>
    <w:uiPriority w:val="99"/>
    <w:rsid w:val="00C331A9"/>
  </w:style>
  <w:style w:type="character" w:customStyle="1" w:styleId="UnresolvedMention2">
    <w:name w:val="Unresolved Mention2"/>
    <w:basedOn w:val="DefaultParagraphFont"/>
    <w:uiPriority w:val="99"/>
    <w:rsid w:val="006B3533"/>
    <w:rPr>
      <w:color w:val="605E5C"/>
      <w:shd w:val="clear" w:color="auto" w:fill="E1DFDD"/>
    </w:rPr>
  </w:style>
  <w:style w:type="paragraph" w:styleId="Revision">
    <w:name w:val="Revision"/>
    <w:hidden/>
    <w:uiPriority w:val="99"/>
    <w:semiHidden/>
    <w:rsid w:val="006D79A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627433">
      <w:bodyDiv w:val="1"/>
      <w:marLeft w:val="0"/>
      <w:marRight w:val="0"/>
      <w:marTop w:val="0"/>
      <w:marBottom w:val="0"/>
      <w:divBdr>
        <w:top w:val="none" w:sz="0" w:space="0" w:color="auto"/>
        <w:left w:val="none" w:sz="0" w:space="0" w:color="auto"/>
        <w:bottom w:val="none" w:sz="0" w:space="0" w:color="auto"/>
        <w:right w:val="none" w:sz="0" w:space="0" w:color="auto"/>
      </w:divBdr>
    </w:div>
    <w:div w:id="1257009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kennedykrieger.org/patient-care/conditions/genetic-metabolic-chromosomal-disorders" TargetMode="External"/><Relationship Id="rId18" Type="http://schemas.openxmlformats.org/officeDocument/2006/relationships/hyperlink" Target="https://www.apa.org/ptsd-guideline" TargetMode="External"/><Relationship Id="rId26" Type="http://schemas.openxmlformats.org/officeDocument/2006/relationships/hyperlink" Target="https://www.apa.org/about/policy/guidelines-low-income.pdf" TargetMode="External"/><Relationship Id="rId39" Type="http://schemas.openxmlformats.org/officeDocument/2006/relationships/fontTable" Target="fontTable.xml"/><Relationship Id="rId21" Type="http://schemas.openxmlformats.org/officeDocument/2006/relationships/hyperlink" Target="https://www.apa.org/about/policy/psychological-practice-girls-women.pdf"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apa.org/pi/disability/resources/assessment-disabilities" TargetMode="External"/><Relationship Id="rId17" Type="http://schemas.openxmlformats.org/officeDocument/2006/relationships/hyperlink" Target="https://www.apadivisions.org/division-18/sections/veterans/smvp-practice-guidelines.pdf" TargetMode="External"/><Relationship Id="rId25" Type="http://schemas.openxmlformats.org/officeDocument/2006/relationships/hyperlink" Target="https://www.apa.org/obesity-guideline"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apa.org/pi/oema/resources/policy/provider-guidelines" TargetMode="External"/><Relationship Id="rId20" Type="http://schemas.openxmlformats.org/officeDocument/2006/relationships/hyperlink" Target="https://www.apa.org/practice/guidelines/older-adults" TargetMode="External"/><Relationship Id="rId29" Type="http://schemas.openxmlformats.org/officeDocument/2006/relationships/hyperlink" Target="https://www.apa.org/pi/disability/resources/assessment-disabil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a.org/about/policy/special-populations" TargetMode="External"/><Relationship Id="rId24" Type="http://schemas.openxmlformats.org/officeDocument/2006/relationships/hyperlink" Target="https://www.apa.org/practice/guidelines/dementia" TargetMode="External"/><Relationship Id="rId32" Type="http://schemas.openxmlformats.org/officeDocument/2006/relationships/hyperlink" Target="https://www.wpspublish.com/sit-4-slosson-intelligence-test-4th-edition"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pa.org/pi/disability/resources/assessment-disabilities" TargetMode="External"/><Relationship Id="rId23" Type="http://schemas.openxmlformats.org/officeDocument/2006/relationships/hyperlink" Target="https://www.apa.org/about/policy/multicultural-guidelines" TargetMode="External"/><Relationship Id="rId28" Type="http://schemas.openxmlformats.org/officeDocument/2006/relationships/hyperlink" Target="https://studentaffairs.chaminade.edu/wp-content/uploads/sites/28/2018-19-NEW-STUDENT-HANDBOOK.pdf" TargetMode="External"/><Relationship Id="rId36" Type="http://schemas.openxmlformats.org/officeDocument/2006/relationships/footer" Target="footer2.xml"/><Relationship Id="rId10" Type="http://schemas.openxmlformats.org/officeDocument/2006/relationships/hyperlink" Target="http://www.chaminade.edu" TargetMode="External"/><Relationship Id="rId19" Type="http://schemas.openxmlformats.org/officeDocument/2006/relationships/hyperlink" Target="https://www.apa.org/pi/lgbt/resources/guidelines" TargetMode="External"/><Relationship Id="rId31" Type="http://schemas.openxmlformats.org/officeDocument/2006/relationships/hyperlink" Target="https://www.kennedykrieger.org/patient-care/conditions/genetic-metabolic-chromosomal-disorders"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doi.org/10.17226/24915" TargetMode="External"/><Relationship Id="rId22" Type="http://schemas.openxmlformats.org/officeDocument/2006/relationships/hyperlink" Target="https://www.apa.org/practice/guidelines/transgender.pdf" TargetMode="External"/><Relationship Id="rId27" Type="http://schemas.openxmlformats.org/officeDocument/2006/relationships/hyperlink" Target="mailto:ada@chaminade.edu" TargetMode="External"/><Relationship Id="rId30" Type="http://schemas.openxmlformats.org/officeDocument/2006/relationships/hyperlink" Target="https://www.apa.org/about/policy/special-populations"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KaFGwjIRIgZSsyaAJL0STphDTw==">AMUW2mXWfNnEY75olU+A9QchIJY+Y6OprvLU6nEzKbYLuE48NQSsOxmw2pa7CwMIhG1OUXSRFNCADZUUSxKtOsz4qblnzalxUaPNZQ6he0LOhbUVi7ZbqNilVplPKWfHicB6axrTQB6rtG6tmhV6Ytmqkvq6vWDdIPZDA4/jpVpdF+oBa0W00LPNWK7QFqe0pHlz9dMwQ7Xp3iFFeT+v0D+0u5EDTJaxup8vNltlKjhXy2lsf+IRxAanA5w/2VCENkf9IrRL/8SqQbiIZeaLcKJ82uMZnler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5106</Words>
  <Characters>29108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7</cp:revision>
  <dcterms:created xsi:type="dcterms:W3CDTF">2021-01-08T20:38:00Z</dcterms:created>
  <dcterms:modified xsi:type="dcterms:W3CDTF">2021-01-10T00:27:00Z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