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3812D3">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B5377E2" w14:textId="77777777" w:rsidR="00B244B9" w:rsidRDefault="003812D3">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1629E092"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F53D2C">
        <w:rPr>
          <w:rFonts w:ascii="Calibri" w:eastAsia="Calibri" w:hAnsi="Calibri" w:cs="Calibri"/>
        </w:rPr>
        <w:t>BC/CH 447</w:t>
      </w:r>
      <w:r w:rsidR="00F53D2C">
        <w:rPr>
          <w:rFonts w:ascii="Calibri" w:eastAsia="Calibri" w:hAnsi="Calibri" w:cs="Calibri"/>
        </w:rPr>
        <w:tab/>
      </w:r>
    </w:p>
    <w:p w14:paraId="7B5377E5" w14:textId="5F990D17"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F53D2C">
        <w:rPr>
          <w:rFonts w:ascii="Calibri" w:eastAsia="Calibri" w:hAnsi="Calibri" w:cs="Calibri"/>
        </w:rPr>
        <w:t>Pharmacology</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0D981336"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F53D2C">
        <w:rPr>
          <w:rFonts w:ascii="Calibri" w:eastAsia="Calibri" w:hAnsi="Calibri" w:cs="Calibri"/>
        </w:rPr>
        <w:t xml:space="preserve"> Fall 2019</w:t>
      </w:r>
    </w:p>
    <w:p w14:paraId="7B5377E9" w14:textId="1E25A8A8"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F53D2C">
        <w:rPr>
          <w:rFonts w:ascii="Calibri" w:eastAsia="Calibri" w:hAnsi="Calibri" w:cs="Calibri"/>
        </w:rPr>
        <w:t>3</w:t>
      </w:r>
    </w:p>
    <w:p w14:paraId="7B5377EA" w14:textId="6645C6C7"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444D62">
        <w:rPr>
          <w:rFonts w:ascii="Calibri" w:eastAsia="Calibri" w:hAnsi="Calibri" w:cs="Calibri"/>
        </w:rPr>
        <w:t>Tuesdays and Thursdays</w:t>
      </w:r>
    </w:p>
    <w:p w14:paraId="7B5377EB" w14:textId="78002D1A"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444D62">
        <w:rPr>
          <w:rFonts w:ascii="Calibri" w:eastAsia="Calibri" w:hAnsi="Calibri" w:cs="Calibri"/>
        </w:rPr>
        <w:t>10 – 11:20 AM</w:t>
      </w:r>
      <w:r w:rsidR="00444D62">
        <w:rPr>
          <w:rFonts w:ascii="Calibri" w:eastAsia="Calibri" w:hAnsi="Calibri" w:cs="Calibri"/>
        </w:rPr>
        <w:tab/>
      </w:r>
    </w:p>
    <w:p w14:paraId="7B5377EC" w14:textId="39CF28C5"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444D62">
        <w:rPr>
          <w:rFonts w:ascii="Calibri" w:eastAsia="Calibri" w:hAnsi="Calibri" w:cs="Calibri"/>
        </w:rPr>
        <w:t>Henry Lab 1</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7B5377EF" w14:textId="22F7C2FE"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3" w:history="1">
        <w:r w:rsidR="00890DCC" w:rsidRPr="007462DE">
          <w:rPr>
            <w:rStyle w:val="Hyperlink"/>
            <w:rFonts w:ascii="Calibri" w:eastAsia="Calibri" w:hAnsi="Calibri" w:cs="Calibri"/>
          </w:rPr>
          <w:t>jkawakam@chaminade.edu</w:t>
        </w:r>
      </w:hyperlink>
      <w:r>
        <w:rPr>
          <w:rFonts w:ascii="Calibri" w:eastAsia="Calibri" w:hAnsi="Calibri" w:cs="Calibri"/>
        </w:rPr>
        <w:t xml:space="preserve"> </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3DBDE5F8"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664C72">
        <w:rPr>
          <w:rFonts w:ascii="Calibri" w:eastAsia="Calibri" w:hAnsi="Calibri" w:cs="Calibri"/>
        </w:rPr>
        <w:t>Henry 5</w:t>
      </w:r>
    </w:p>
    <w:p w14:paraId="6077F4ED" w14:textId="591E3EDF" w:rsidR="00664C72"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w:t>
      </w:r>
      <w:r w:rsidR="00664C72">
        <w:rPr>
          <w:rFonts w:ascii="Calibri" w:eastAsia="Calibri" w:hAnsi="Calibri" w:cs="Calibri"/>
        </w:rPr>
        <w:t xml:space="preserve"> </w:t>
      </w:r>
      <w:r w:rsidR="00664C72">
        <w:rPr>
          <w:rFonts w:ascii="Times New Roman" w:eastAsia="Calibri" w:hAnsi="Times New Roman" w:cs="Times New Roman"/>
        </w:rPr>
        <w:t xml:space="preserve">12:30-1:20pm, W &amp; F 1:30-2:20pm, and T &amp; </w:t>
      </w:r>
      <w:proofErr w:type="spellStart"/>
      <w:r w:rsidR="00664C72">
        <w:rPr>
          <w:rFonts w:ascii="Times New Roman" w:eastAsia="Calibri" w:hAnsi="Times New Roman" w:cs="Times New Roman"/>
        </w:rPr>
        <w:t>Th</w:t>
      </w:r>
      <w:proofErr w:type="spellEnd"/>
      <w:r w:rsidR="00664C72">
        <w:rPr>
          <w:rFonts w:ascii="Times New Roman" w:eastAsia="Calibri" w:hAnsi="Times New Roman" w:cs="Times New Roman"/>
        </w:rPr>
        <w:t xml:space="preserve"> 8:30-9:20am.</w:t>
      </w:r>
      <w:bookmarkStart w:id="0" w:name="_GoBack"/>
      <w:bookmarkEnd w:id="0"/>
      <w:r>
        <w:rPr>
          <w:rFonts w:ascii="Calibri" w:eastAsia="Calibri" w:hAnsi="Calibri" w:cs="Calibri"/>
        </w:rPr>
        <w:t xml:space="preserve"> </w:t>
      </w:r>
    </w:p>
    <w:p w14:paraId="7B5377F3" w14:textId="74FC0874"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90DCC" w:rsidRPr="00D949FD">
        <w:rPr>
          <w:rFonts w:ascii="Calibri" w:eastAsia="Calibri" w:hAnsi="Calibri" w:cs="Calibri"/>
        </w:rPr>
        <w:t>https://chaminade.edu/academics/nsm/joel-kawakami/</w:t>
      </w:r>
    </w:p>
    <w:p w14:paraId="7B5377F5" w14:textId="77777777" w:rsidR="00B244B9" w:rsidRDefault="003824EF">
      <w:pPr>
        <w:pStyle w:val="Heading3"/>
      </w:pPr>
      <w:bookmarkStart w:id="1" w:name="_kqtzqxzhho7o" w:colFirst="0" w:colLast="0"/>
      <w:bookmarkEnd w:id="1"/>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2" w:name="_p6ygxyvhs4cq" w:colFirst="0" w:colLast="0"/>
      <w:bookmarkEnd w:id="2"/>
      <w:r>
        <w:t xml:space="preserve">Course Overview </w:t>
      </w:r>
    </w:p>
    <w:p w14:paraId="7B5377F9" w14:textId="5586E909" w:rsidR="00B244B9" w:rsidRPr="00DC4819" w:rsidRDefault="00DC4819" w:rsidP="00DC4819">
      <w:pPr>
        <w:rPr>
          <w:rFonts w:asciiTheme="majorHAnsi" w:hAnsiTheme="majorHAnsi"/>
          <w:i/>
          <w:iCs/>
          <w:color w:val="000000"/>
        </w:rPr>
      </w:pPr>
      <w:r w:rsidRPr="00DC4819">
        <w:rPr>
          <w:rFonts w:asciiTheme="majorHAnsi" w:hAnsiTheme="majorHAnsi"/>
          <w:color w:val="000000"/>
        </w:rPr>
        <w:t xml:space="preserve">Pharmacology (CH 447) is the biochemistry curriculum targeting students with an interest in the field of biomedical research and/or education, as well as those intending to specialize in medicine. The course will expand on topics covered in Biochemistry I (BC 360) and continue with in depth analyses drug discovery with emphasis on late stage preclinical and clinical research.  Included will be an in depth focus on pharmacokinetics as associated with clinical potency/efficacy and toxicity.   </w:t>
      </w:r>
      <w:r w:rsidRPr="00DC4819">
        <w:rPr>
          <w:rFonts w:asciiTheme="majorHAnsi" w:hAnsiTheme="majorHAnsi"/>
        </w:rPr>
        <w:t xml:space="preserve">The course will be reading and writing intensive involving scientific literature research.  </w:t>
      </w:r>
      <w:r w:rsidRPr="00DC4819">
        <w:rPr>
          <w:rFonts w:asciiTheme="majorHAnsi" w:hAnsiTheme="majorHAnsi"/>
          <w:color w:val="000000"/>
        </w:rPr>
        <w:t>Pharmacology is required for a BS degree in Biochemistry.</w:t>
      </w:r>
    </w:p>
    <w:p w14:paraId="704ED25D" w14:textId="3C7F6729" w:rsidR="00B30B98" w:rsidRDefault="003824EF" w:rsidP="00B30B98">
      <w:pPr>
        <w:pStyle w:val="Heading3"/>
        <w:rPr>
          <w:b w:val="0"/>
        </w:rPr>
      </w:pPr>
      <w:bookmarkStart w:id="3" w:name="_ei55tcz69eyo" w:colFirst="0" w:colLast="0"/>
      <w:bookmarkEnd w:id="3"/>
      <w:r>
        <w:t>Marianist Values</w:t>
      </w:r>
      <w:r w:rsidR="00DC4819">
        <w:t xml:space="preserve"> (MVs) </w:t>
      </w:r>
      <w:r w:rsidR="00DC4819">
        <w:rPr>
          <w:color w:val="000000"/>
        </w:rPr>
        <w:t>for CH447 Pharmacology</w:t>
      </w:r>
      <w:r>
        <w:br/>
      </w:r>
      <w:r w:rsidRPr="00B30B98">
        <w:rPr>
          <w:b w:val="0"/>
        </w:rPr>
        <w:t xml:space="preserve">This class represents one component of your education at </w:t>
      </w:r>
      <w:proofErr w:type="spellStart"/>
      <w:r w:rsidRPr="00B30B98">
        <w:rPr>
          <w:b w:val="0"/>
        </w:rPr>
        <w:t>Chaminade</w:t>
      </w:r>
      <w:proofErr w:type="spellEnd"/>
      <w:r w:rsidRPr="00B30B98">
        <w:rPr>
          <w:b w:val="0"/>
        </w:rPr>
        <w:t xml:space="preserv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102DD7DD" w:rsidR="00B30B98" w:rsidRDefault="00B30B98">
      <w:pPr>
        <w:pStyle w:val="Heading3"/>
        <w:rPr>
          <w:color w:val="000000"/>
        </w:rPr>
      </w:pPr>
      <w:bookmarkStart w:id="4" w:name="_o4c5gflkntpt" w:colFirst="0" w:colLast="0"/>
      <w:bookmarkEnd w:id="4"/>
      <w:r>
        <w:rPr>
          <w:color w:val="000000"/>
        </w:rPr>
        <w:lastRenderedPageBreak/>
        <w:t>Native Hawaiian Values</w:t>
      </w:r>
      <w:r w:rsidR="00DC4819">
        <w:rPr>
          <w:color w:val="000000"/>
        </w:rPr>
        <w:t xml:space="preserve"> (NHVs) for CH447 Pharmacology</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7B5377FC" w14:textId="541B2AB1" w:rsidR="00B244B9" w:rsidRDefault="00DC4819">
      <w:pPr>
        <w:pStyle w:val="Heading3"/>
        <w:rPr>
          <w:color w:val="000000"/>
        </w:rPr>
      </w:pPr>
      <w:r>
        <w:rPr>
          <w:color w:val="000000"/>
        </w:rPr>
        <w:t xml:space="preserve">Course </w:t>
      </w:r>
      <w:r w:rsidR="003824EF">
        <w:rPr>
          <w:color w:val="000000"/>
        </w:rPr>
        <w:t>Learning Outcomes</w:t>
      </w:r>
      <w:r>
        <w:rPr>
          <w:color w:val="000000"/>
        </w:rPr>
        <w:t xml:space="preserve"> (CLOs) for CH447 Pharmacology</w:t>
      </w:r>
      <w:r w:rsidR="003824EF">
        <w:rPr>
          <w:color w:val="000000"/>
        </w:rPr>
        <w:t xml:space="preserve"> </w:t>
      </w:r>
    </w:p>
    <w:p w14:paraId="3C7D31E8" w14:textId="77777777" w:rsidR="00DC4819" w:rsidRDefault="00DC4819" w:rsidP="00DC4819">
      <w:pPr>
        <w:rPr>
          <w:color w:val="000000"/>
        </w:rPr>
      </w:pPr>
      <w:bookmarkStart w:id="5" w:name="_ya8hoiwdsw79" w:colFirst="0" w:colLast="0"/>
      <w:bookmarkStart w:id="6" w:name="_3tx06nelqr7l" w:colFirst="0" w:colLast="0"/>
      <w:bookmarkEnd w:id="5"/>
      <w:bookmarkEnd w:id="6"/>
      <w:r w:rsidRPr="00C14C50">
        <w:rPr>
          <w:color w:val="000000"/>
        </w:rPr>
        <w:tab/>
        <w:t xml:space="preserve">Students completing </w:t>
      </w:r>
      <w:r>
        <w:rPr>
          <w:color w:val="000000"/>
        </w:rPr>
        <w:t>CH</w:t>
      </w:r>
      <w:r w:rsidRPr="00C14C50">
        <w:rPr>
          <w:color w:val="000000"/>
        </w:rPr>
        <w:t xml:space="preserve"> </w:t>
      </w:r>
      <w:r>
        <w:rPr>
          <w:color w:val="000000"/>
        </w:rPr>
        <w:t>447</w:t>
      </w:r>
      <w:r w:rsidRPr="00C14C50">
        <w:rPr>
          <w:color w:val="000000"/>
        </w:rPr>
        <w:t xml:space="preserve"> will demonstrate an understanding:</w:t>
      </w:r>
    </w:p>
    <w:p w14:paraId="29F06654" w14:textId="77777777" w:rsidR="00DC4819" w:rsidRPr="00C14C50" w:rsidRDefault="00DC4819" w:rsidP="00DC4819">
      <w:pPr>
        <w:rPr>
          <w:color w:val="000000"/>
        </w:rPr>
      </w:pPr>
    </w:p>
    <w:p w14:paraId="06925E37" w14:textId="77777777" w:rsidR="00DC4819" w:rsidRPr="00D11AB4" w:rsidRDefault="00DC4819" w:rsidP="00DC4819">
      <w:pPr>
        <w:numPr>
          <w:ilvl w:val="0"/>
          <w:numId w:val="7"/>
        </w:numPr>
        <w:spacing w:line="240" w:lineRule="auto"/>
        <w:rPr>
          <w:color w:val="000000"/>
        </w:rPr>
      </w:pPr>
      <w:r>
        <w:t xml:space="preserve">Therapeutic actions of drugs at the cellular, tissue and organism level are discussed in areas of cancer, inflammation, cardiovascular, and endocrine related diseases.  </w:t>
      </w:r>
    </w:p>
    <w:p w14:paraId="38351236" w14:textId="77777777" w:rsidR="00DC4819" w:rsidRPr="001306DE" w:rsidRDefault="00DC4819" w:rsidP="00DC4819">
      <w:pPr>
        <w:numPr>
          <w:ilvl w:val="0"/>
          <w:numId w:val="7"/>
        </w:numPr>
        <w:spacing w:line="240" w:lineRule="auto"/>
        <w:rPr>
          <w:color w:val="000000"/>
        </w:rPr>
      </w:pPr>
      <w:r>
        <w:t xml:space="preserve">Preclinical and clinical results of each drug or drug classes are discussed with respect to therapeutic effectiveness.  Included in the discussion are pharmacokinetic and toxicology. </w:t>
      </w:r>
    </w:p>
    <w:p w14:paraId="67087E3A" w14:textId="77777777" w:rsidR="00DC4819" w:rsidRPr="00C14C50" w:rsidRDefault="00DC4819" w:rsidP="00DC4819">
      <w:pPr>
        <w:numPr>
          <w:ilvl w:val="0"/>
          <w:numId w:val="7"/>
        </w:numPr>
        <w:spacing w:line="240" w:lineRule="auto"/>
        <w:rPr>
          <w:color w:val="000000"/>
        </w:rPr>
      </w:pPr>
      <w:r>
        <w:t>The student will demonstrate an understanding of small and large molecule drug discovery and their therapeutics.</w:t>
      </w:r>
    </w:p>
    <w:p w14:paraId="5748C601" w14:textId="77777777" w:rsidR="006E2AB7" w:rsidRDefault="006E2AB7" w:rsidP="00B65C3F">
      <w:pPr>
        <w:rPr>
          <w:rFonts w:ascii="Times New Roman" w:hAnsi="Times New Roman" w:cs="Times New Roman"/>
          <w:b/>
          <w:bCs/>
          <w:color w:val="000000" w:themeColor="text1"/>
          <w:sz w:val="24"/>
        </w:rPr>
      </w:pPr>
    </w:p>
    <w:p w14:paraId="1FAC1B18" w14:textId="13058EED" w:rsidR="00B65C3F" w:rsidRPr="006E2AB7" w:rsidRDefault="00B65C3F" w:rsidP="00B65C3F">
      <w:pPr>
        <w:rPr>
          <w:rFonts w:asciiTheme="majorHAnsi" w:hAnsiTheme="majorHAnsi" w:cstheme="majorHAnsi"/>
          <w:b/>
          <w:bCs/>
          <w:color w:val="000000" w:themeColor="text1"/>
          <w:sz w:val="23"/>
          <w:szCs w:val="23"/>
        </w:rPr>
      </w:pPr>
      <w:r w:rsidRPr="006E2AB7">
        <w:rPr>
          <w:rFonts w:asciiTheme="majorHAnsi" w:hAnsiTheme="majorHAnsi" w:cstheme="majorHAnsi"/>
          <w:b/>
          <w:bCs/>
          <w:color w:val="000000" w:themeColor="text1"/>
          <w:sz w:val="23"/>
          <w:szCs w:val="23"/>
        </w:rPr>
        <w:t>Program Learning Outcomes (PLOs) in Chemistry</w:t>
      </w:r>
    </w:p>
    <w:p w14:paraId="289829BB" w14:textId="77777777" w:rsidR="00B65C3F" w:rsidRPr="006E2AB7" w:rsidRDefault="00B65C3F" w:rsidP="00B65C3F">
      <w:pPr>
        <w:rPr>
          <w:rFonts w:asciiTheme="majorHAnsi" w:hAnsiTheme="majorHAnsi" w:cstheme="majorHAnsi"/>
          <w:color w:val="000000" w:themeColor="text1"/>
        </w:rPr>
      </w:pPr>
      <w:r w:rsidRPr="006E2AB7">
        <w:rPr>
          <w:rFonts w:asciiTheme="majorHAnsi" w:hAnsiTheme="majorHAnsi" w:cstheme="majorHAnsi"/>
          <w:color w:val="000000" w:themeColor="text1"/>
        </w:rPr>
        <w:t>Upon completion of the undergraduate program in Chemistry, students will have demonstrated the ability to:</w:t>
      </w:r>
    </w:p>
    <w:p w14:paraId="7085C5BE"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Apply the scientific method as it is used in organic chemistry, inorganic chemistry, analytical chemistry, physical chemistry, and molecular sciences</w:t>
      </w:r>
    </w:p>
    <w:p w14:paraId="57000FEB"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Recognize and explain chemical theory as it applies to the physical world</w:t>
      </w:r>
    </w:p>
    <w:p w14:paraId="386F9AFD"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Visualize, evaluate, validate and interpret results of chemical analyses</w:t>
      </w:r>
    </w:p>
    <w:p w14:paraId="2C99B5FA"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Solve problems using analytical reasoning, professional resources, professional conduct, and ethical behavior</w:t>
      </w:r>
    </w:p>
    <w:p w14:paraId="7AC63E4B" w14:textId="5310A868"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Communicate chemical information effectively in oral and written formats</w:t>
      </w:r>
    </w:p>
    <w:p w14:paraId="2250B8F6" w14:textId="77777777" w:rsidR="00B65C3F" w:rsidRDefault="00B65C3F" w:rsidP="00B65C3F">
      <w:pPr>
        <w:pStyle w:val="Heading3"/>
        <w:keepNext w:val="0"/>
        <w:keepLines w:val="0"/>
        <w:spacing w:before="480"/>
      </w:pPr>
      <w:r>
        <w:t>Alignment of Learning Outcomes</w:t>
      </w:r>
    </w:p>
    <w:p w14:paraId="0DD476A2" w14:textId="77777777" w:rsidR="00B65C3F" w:rsidRDefault="00B65C3F" w:rsidP="00B65C3F">
      <w:pPr>
        <w:spacing w:line="240" w:lineRule="auto"/>
        <w:rPr>
          <w:rFonts w:ascii="Calibri" w:eastAsia="Calibri" w:hAnsi="Calibri" w:cs="Calibri"/>
        </w:rPr>
      </w:pPr>
      <w:r>
        <w:rPr>
          <w:rFonts w:ascii="Calibri" w:eastAsia="Calibri" w:hAnsi="Calibri" w:cs="Calibri"/>
        </w:rPr>
        <w:t xml:space="preserve"> </w:t>
      </w:r>
    </w:p>
    <w:tbl>
      <w:tblPr>
        <w:tblStyle w:val="TableGrid"/>
        <w:tblW w:w="356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22"/>
        <w:gridCol w:w="2016"/>
        <w:gridCol w:w="2016"/>
        <w:gridCol w:w="2016"/>
      </w:tblGrid>
      <w:tr w:rsidR="00DC4819" w14:paraId="1845E545" w14:textId="77777777" w:rsidTr="00DC4819">
        <w:trPr>
          <w:jc w:val="center"/>
        </w:trPr>
        <w:tc>
          <w:tcPr>
            <w:tcW w:w="782" w:type="pct"/>
            <w:tcBorders>
              <w:top w:val="nil"/>
              <w:left w:val="nil"/>
              <w:bottom w:val="single" w:sz="12" w:space="0" w:color="auto"/>
              <w:right w:val="single" w:sz="12" w:space="0" w:color="auto"/>
            </w:tcBorders>
            <w:vAlign w:val="center"/>
          </w:tcPr>
          <w:p w14:paraId="2AD7E059" w14:textId="77777777" w:rsidR="00DC4819" w:rsidRDefault="00DC4819" w:rsidP="007430CE">
            <w:pPr>
              <w:jc w:val="center"/>
              <w:rPr>
                <w:rFonts w:ascii="Calibri" w:eastAsia="Calibri" w:hAnsi="Calibri" w:cs="Calibri"/>
              </w:rPr>
            </w:pPr>
          </w:p>
        </w:tc>
        <w:tc>
          <w:tcPr>
            <w:tcW w:w="1406" w:type="pct"/>
            <w:tcBorders>
              <w:left w:val="single" w:sz="12" w:space="0" w:color="auto"/>
            </w:tcBorders>
            <w:vAlign w:val="center"/>
          </w:tcPr>
          <w:p w14:paraId="36C6725A" w14:textId="77777777" w:rsidR="00DC4819" w:rsidRDefault="00DC4819" w:rsidP="007430CE">
            <w:pPr>
              <w:jc w:val="center"/>
              <w:rPr>
                <w:rFonts w:ascii="Calibri" w:eastAsia="Calibri" w:hAnsi="Calibri" w:cs="Calibri"/>
              </w:rPr>
            </w:pPr>
            <w:r>
              <w:rPr>
                <w:rFonts w:ascii="Calibri" w:eastAsia="Calibri" w:hAnsi="Calibri" w:cs="Calibri"/>
              </w:rPr>
              <w:t>CLO1</w:t>
            </w:r>
          </w:p>
        </w:tc>
        <w:tc>
          <w:tcPr>
            <w:tcW w:w="1406" w:type="pct"/>
            <w:vAlign w:val="center"/>
          </w:tcPr>
          <w:p w14:paraId="761DAD20" w14:textId="77777777" w:rsidR="00DC4819" w:rsidRDefault="00DC4819" w:rsidP="007430CE">
            <w:pPr>
              <w:jc w:val="center"/>
              <w:rPr>
                <w:rFonts w:ascii="Calibri" w:eastAsia="Calibri" w:hAnsi="Calibri" w:cs="Calibri"/>
              </w:rPr>
            </w:pPr>
            <w:r>
              <w:rPr>
                <w:rFonts w:ascii="Calibri" w:eastAsia="Calibri" w:hAnsi="Calibri" w:cs="Calibri"/>
              </w:rPr>
              <w:t>CLO2</w:t>
            </w:r>
          </w:p>
        </w:tc>
        <w:tc>
          <w:tcPr>
            <w:tcW w:w="1406" w:type="pct"/>
            <w:vAlign w:val="center"/>
          </w:tcPr>
          <w:p w14:paraId="6B879AEF" w14:textId="77777777" w:rsidR="00DC4819" w:rsidRDefault="00DC4819" w:rsidP="007430CE">
            <w:pPr>
              <w:jc w:val="center"/>
              <w:rPr>
                <w:rFonts w:ascii="Calibri" w:eastAsia="Calibri" w:hAnsi="Calibri" w:cs="Calibri"/>
              </w:rPr>
            </w:pPr>
            <w:r>
              <w:rPr>
                <w:rFonts w:ascii="Calibri" w:eastAsia="Calibri" w:hAnsi="Calibri" w:cs="Calibri"/>
              </w:rPr>
              <w:t>CLO3</w:t>
            </w:r>
          </w:p>
        </w:tc>
      </w:tr>
      <w:tr w:rsidR="00DC4819" w14:paraId="7531A8C2" w14:textId="77777777" w:rsidTr="00DC4819">
        <w:trPr>
          <w:jc w:val="center"/>
        </w:trPr>
        <w:tc>
          <w:tcPr>
            <w:tcW w:w="782" w:type="pct"/>
            <w:tcBorders>
              <w:top w:val="single" w:sz="12" w:space="0" w:color="auto"/>
            </w:tcBorders>
            <w:vAlign w:val="center"/>
          </w:tcPr>
          <w:p w14:paraId="4C7946B5" w14:textId="77777777" w:rsidR="00DC4819" w:rsidRDefault="00DC4819" w:rsidP="007430CE">
            <w:pPr>
              <w:jc w:val="center"/>
              <w:rPr>
                <w:rFonts w:ascii="Calibri" w:eastAsia="Calibri" w:hAnsi="Calibri" w:cs="Calibri"/>
              </w:rPr>
            </w:pPr>
            <w:r>
              <w:rPr>
                <w:rFonts w:ascii="Calibri" w:eastAsia="Calibri" w:hAnsi="Calibri" w:cs="Calibri"/>
              </w:rPr>
              <w:t>MVs</w:t>
            </w:r>
          </w:p>
        </w:tc>
        <w:tc>
          <w:tcPr>
            <w:tcW w:w="1406" w:type="pct"/>
            <w:vAlign w:val="center"/>
          </w:tcPr>
          <w:p w14:paraId="639A61E6" w14:textId="4AC3650F" w:rsidR="00DC4819" w:rsidRDefault="00DC4819" w:rsidP="007430CE">
            <w:pPr>
              <w:jc w:val="center"/>
              <w:rPr>
                <w:rFonts w:ascii="Calibri" w:eastAsia="Calibri" w:hAnsi="Calibri" w:cs="Calibri"/>
              </w:rPr>
            </w:pPr>
            <w:r>
              <w:rPr>
                <w:rFonts w:ascii="Calibri" w:eastAsia="Calibri" w:hAnsi="Calibri" w:cs="Calibri"/>
              </w:rPr>
              <w:t xml:space="preserve">2, 3, </w:t>
            </w:r>
            <w:r w:rsidR="00CB4591">
              <w:rPr>
                <w:rFonts w:ascii="Calibri" w:eastAsia="Calibri" w:hAnsi="Calibri" w:cs="Calibri"/>
              </w:rPr>
              <w:t>4</w:t>
            </w:r>
            <w:r w:rsidR="00B60A1F">
              <w:rPr>
                <w:rFonts w:ascii="Calibri" w:eastAsia="Calibri" w:hAnsi="Calibri" w:cs="Calibri"/>
              </w:rPr>
              <w:t xml:space="preserve"> &amp; 5</w:t>
            </w:r>
          </w:p>
        </w:tc>
        <w:tc>
          <w:tcPr>
            <w:tcW w:w="1406" w:type="pct"/>
            <w:vAlign w:val="center"/>
          </w:tcPr>
          <w:p w14:paraId="34AA8DB8" w14:textId="661419C1" w:rsidR="00DC4819" w:rsidRDefault="00B60A1F" w:rsidP="007430CE">
            <w:pPr>
              <w:jc w:val="center"/>
              <w:rPr>
                <w:rFonts w:ascii="Calibri" w:eastAsia="Calibri" w:hAnsi="Calibri" w:cs="Calibri"/>
              </w:rPr>
            </w:pPr>
            <w:r>
              <w:rPr>
                <w:rFonts w:ascii="Calibri" w:eastAsia="Calibri" w:hAnsi="Calibri" w:cs="Calibri"/>
              </w:rPr>
              <w:t>2, 3, 4 &amp; 5</w:t>
            </w:r>
          </w:p>
        </w:tc>
        <w:tc>
          <w:tcPr>
            <w:tcW w:w="1406" w:type="pct"/>
            <w:vAlign w:val="center"/>
          </w:tcPr>
          <w:p w14:paraId="0E0BAB88" w14:textId="51682256" w:rsidR="00DC4819" w:rsidRDefault="00B60A1F" w:rsidP="007430CE">
            <w:pPr>
              <w:jc w:val="center"/>
              <w:rPr>
                <w:rFonts w:ascii="Calibri" w:eastAsia="Calibri" w:hAnsi="Calibri" w:cs="Calibri"/>
              </w:rPr>
            </w:pPr>
            <w:r>
              <w:rPr>
                <w:rFonts w:ascii="Calibri" w:eastAsia="Calibri" w:hAnsi="Calibri" w:cs="Calibri"/>
              </w:rPr>
              <w:t>2, 3, 4 &amp; 5</w:t>
            </w:r>
          </w:p>
        </w:tc>
      </w:tr>
      <w:tr w:rsidR="00B60A1F" w14:paraId="1739432C" w14:textId="77777777" w:rsidTr="00DC4819">
        <w:trPr>
          <w:jc w:val="center"/>
        </w:trPr>
        <w:tc>
          <w:tcPr>
            <w:tcW w:w="782" w:type="pct"/>
            <w:tcBorders>
              <w:top w:val="single" w:sz="12" w:space="0" w:color="auto"/>
            </w:tcBorders>
            <w:vAlign w:val="center"/>
          </w:tcPr>
          <w:p w14:paraId="0D240255" w14:textId="77777777" w:rsidR="00B60A1F" w:rsidRDefault="00B60A1F" w:rsidP="007430CE">
            <w:pPr>
              <w:jc w:val="center"/>
              <w:rPr>
                <w:rFonts w:ascii="Calibri" w:eastAsia="Calibri" w:hAnsi="Calibri" w:cs="Calibri"/>
              </w:rPr>
            </w:pPr>
            <w:r>
              <w:rPr>
                <w:rFonts w:ascii="Calibri" w:eastAsia="Calibri" w:hAnsi="Calibri" w:cs="Calibri"/>
              </w:rPr>
              <w:t>NHVs</w:t>
            </w:r>
          </w:p>
        </w:tc>
        <w:tc>
          <w:tcPr>
            <w:tcW w:w="1406" w:type="pct"/>
            <w:vAlign w:val="center"/>
          </w:tcPr>
          <w:p w14:paraId="397A2110" w14:textId="4FBBB1F0" w:rsidR="00B60A1F" w:rsidRDefault="00B60A1F" w:rsidP="007430CE">
            <w:pPr>
              <w:jc w:val="center"/>
              <w:rPr>
                <w:rFonts w:ascii="Calibri" w:eastAsia="Calibri" w:hAnsi="Calibri" w:cs="Calibri"/>
              </w:rPr>
            </w:pPr>
            <w:r>
              <w:rPr>
                <w:rFonts w:ascii="Calibri" w:eastAsia="Calibri" w:hAnsi="Calibri" w:cs="Calibri"/>
              </w:rPr>
              <w:t>2, 3, 4 &amp; 5</w:t>
            </w:r>
          </w:p>
        </w:tc>
        <w:tc>
          <w:tcPr>
            <w:tcW w:w="1406" w:type="pct"/>
            <w:vAlign w:val="center"/>
          </w:tcPr>
          <w:p w14:paraId="1D5346C5" w14:textId="6EA614A8" w:rsidR="00B60A1F" w:rsidRDefault="00B60A1F" w:rsidP="007430CE">
            <w:pPr>
              <w:jc w:val="center"/>
              <w:rPr>
                <w:rFonts w:ascii="Calibri" w:eastAsia="Calibri" w:hAnsi="Calibri" w:cs="Calibri"/>
              </w:rPr>
            </w:pPr>
            <w:r>
              <w:rPr>
                <w:rFonts w:ascii="Calibri" w:eastAsia="Calibri" w:hAnsi="Calibri" w:cs="Calibri"/>
              </w:rPr>
              <w:t>2, 3, 4 &amp; 5</w:t>
            </w:r>
          </w:p>
        </w:tc>
        <w:tc>
          <w:tcPr>
            <w:tcW w:w="1406" w:type="pct"/>
            <w:vAlign w:val="center"/>
          </w:tcPr>
          <w:p w14:paraId="1ECEB2E2" w14:textId="74737461" w:rsidR="00B60A1F" w:rsidRDefault="00B60A1F" w:rsidP="007430CE">
            <w:pPr>
              <w:jc w:val="center"/>
              <w:rPr>
                <w:rFonts w:ascii="Calibri" w:eastAsia="Calibri" w:hAnsi="Calibri" w:cs="Calibri"/>
              </w:rPr>
            </w:pPr>
            <w:r>
              <w:rPr>
                <w:rFonts w:ascii="Calibri" w:eastAsia="Calibri" w:hAnsi="Calibri" w:cs="Calibri"/>
              </w:rPr>
              <w:t>2, 3, 4 &amp; 5</w:t>
            </w:r>
          </w:p>
        </w:tc>
      </w:tr>
      <w:tr w:rsidR="00DC4819" w14:paraId="3652BCDA" w14:textId="77777777" w:rsidTr="00DC4819">
        <w:trPr>
          <w:jc w:val="center"/>
        </w:trPr>
        <w:tc>
          <w:tcPr>
            <w:tcW w:w="782" w:type="pct"/>
            <w:vAlign w:val="center"/>
          </w:tcPr>
          <w:p w14:paraId="0AD29AF9" w14:textId="77777777" w:rsidR="00DC4819" w:rsidRDefault="00DC4819" w:rsidP="007430CE">
            <w:pPr>
              <w:jc w:val="center"/>
              <w:rPr>
                <w:rFonts w:ascii="Calibri" w:eastAsia="Calibri" w:hAnsi="Calibri" w:cs="Calibri"/>
              </w:rPr>
            </w:pPr>
            <w:r>
              <w:rPr>
                <w:rFonts w:ascii="Calibri" w:eastAsia="Calibri" w:hAnsi="Calibri" w:cs="Calibri"/>
              </w:rPr>
              <w:t>PLOs</w:t>
            </w:r>
          </w:p>
        </w:tc>
        <w:tc>
          <w:tcPr>
            <w:tcW w:w="1406" w:type="pct"/>
            <w:vAlign w:val="center"/>
          </w:tcPr>
          <w:p w14:paraId="4C8FE779" w14:textId="2720B3BE" w:rsidR="00DC4819" w:rsidRDefault="00814964" w:rsidP="007430CE">
            <w:pPr>
              <w:jc w:val="center"/>
              <w:rPr>
                <w:rFonts w:ascii="Calibri" w:eastAsia="Calibri" w:hAnsi="Calibri" w:cs="Calibri"/>
              </w:rPr>
            </w:pPr>
            <w:r>
              <w:rPr>
                <w:rFonts w:ascii="Calibri" w:eastAsia="Calibri" w:hAnsi="Calibri" w:cs="Calibri"/>
              </w:rPr>
              <w:t>1, 2, 3 &amp; 5</w:t>
            </w:r>
          </w:p>
        </w:tc>
        <w:tc>
          <w:tcPr>
            <w:tcW w:w="1406" w:type="pct"/>
            <w:vAlign w:val="center"/>
          </w:tcPr>
          <w:p w14:paraId="47AFDC75" w14:textId="2D2C8870" w:rsidR="00DC4819" w:rsidRDefault="00814964" w:rsidP="007430CE">
            <w:pPr>
              <w:jc w:val="center"/>
              <w:rPr>
                <w:rFonts w:ascii="Calibri" w:eastAsia="Calibri" w:hAnsi="Calibri" w:cs="Calibri"/>
              </w:rPr>
            </w:pPr>
            <w:r>
              <w:rPr>
                <w:rFonts w:ascii="Calibri" w:eastAsia="Calibri" w:hAnsi="Calibri" w:cs="Calibri"/>
              </w:rPr>
              <w:t>1,2, 3, 4 &amp; 5</w:t>
            </w:r>
          </w:p>
        </w:tc>
        <w:tc>
          <w:tcPr>
            <w:tcW w:w="1406" w:type="pct"/>
            <w:vAlign w:val="center"/>
          </w:tcPr>
          <w:p w14:paraId="40A943A1" w14:textId="0527A559" w:rsidR="00DC4819" w:rsidRDefault="00814964" w:rsidP="007430CE">
            <w:pPr>
              <w:jc w:val="center"/>
              <w:rPr>
                <w:rFonts w:ascii="Calibri" w:eastAsia="Calibri" w:hAnsi="Calibri" w:cs="Calibri"/>
              </w:rPr>
            </w:pPr>
            <w:r>
              <w:rPr>
                <w:rFonts w:ascii="Calibri" w:eastAsia="Calibri" w:hAnsi="Calibri" w:cs="Calibri"/>
              </w:rPr>
              <w:t>1,2, 3, 4 &amp; 5</w:t>
            </w:r>
          </w:p>
        </w:tc>
      </w:tr>
    </w:tbl>
    <w:p w14:paraId="7B53781E" w14:textId="77777777" w:rsidR="00B244B9" w:rsidRDefault="003824EF">
      <w:pPr>
        <w:pStyle w:val="Heading3"/>
      </w:pPr>
      <w:r>
        <w:t>Course Prerequisites</w:t>
      </w:r>
    </w:p>
    <w:p w14:paraId="1FF00F05" w14:textId="77777777" w:rsidR="00814964" w:rsidRPr="00814964" w:rsidRDefault="00814964" w:rsidP="00814964">
      <w:pPr>
        <w:ind w:left="1440" w:firstLine="720"/>
        <w:rPr>
          <w:rFonts w:asciiTheme="majorHAnsi" w:hAnsiTheme="majorHAnsi"/>
        </w:rPr>
      </w:pPr>
      <w:bookmarkStart w:id="7" w:name="_z8rlxh31wh96" w:colFirst="0" w:colLast="0"/>
      <w:bookmarkEnd w:id="7"/>
      <w:r w:rsidRPr="00814964">
        <w:rPr>
          <w:rFonts w:asciiTheme="majorHAnsi" w:hAnsiTheme="majorHAnsi"/>
        </w:rPr>
        <w:t>Prerequisite:  BI 208/L, and CH 324/L.</w:t>
      </w:r>
    </w:p>
    <w:p w14:paraId="7B537820" w14:textId="77777777" w:rsidR="00B244B9" w:rsidRDefault="003824EF">
      <w:pPr>
        <w:pStyle w:val="Heading3"/>
      </w:pPr>
      <w:r>
        <w:lastRenderedPageBreak/>
        <w:t xml:space="preserve">Required Learning Materials </w:t>
      </w:r>
    </w:p>
    <w:p w14:paraId="35AC4B29" w14:textId="4BC206C3" w:rsidR="00814964" w:rsidRPr="00814964" w:rsidRDefault="00814964" w:rsidP="00814964">
      <w:pPr>
        <w:rPr>
          <w:rFonts w:asciiTheme="majorHAnsi" w:hAnsiTheme="majorHAnsi"/>
          <w:color w:val="000000"/>
        </w:rPr>
      </w:pPr>
      <w:r w:rsidRPr="00814964">
        <w:rPr>
          <w:rFonts w:asciiTheme="majorHAnsi" w:hAnsiTheme="majorHAnsi"/>
          <w:color w:val="000000"/>
        </w:rPr>
        <w:t>The following items should b</w:t>
      </w:r>
      <w:r>
        <w:rPr>
          <w:rFonts w:asciiTheme="majorHAnsi" w:hAnsiTheme="majorHAnsi"/>
          <w:color w:val="000000"/>
        </w:rPr>
        <w:t>e brought to each class meeting:</w:t>
      </w:r>
    </w:p>
    <w:p w14:paraId="2DCC2648" w14:textId="77777777" w:rsidR="00814964" w:rsidRPr="00814964" w:rsidRDefault="00814964" w:rsidP="00814964">
      <w:pPr>
        <w:rPr>
          <w:rFonts w:asciiTheme="majorHAnsi" w:hAnsiTheme="majorHAnsi"/>
          <w:color w:val="000000"/>
        </w:rPr>
      </w:pPr>
    </w:p>
    <w:p w14:paraId="0BE56F74" w14:textId="77777777" w:rsidR="00814964" w:rsidRPr="00814964" w:rsidRDefault="00814964" w:rsidP="00814964">
      <w:pPr>
        <w:numPr>
          <w:ilvl w:val="0"/>
          <w:numId w:val="8"/>
        </w:numPr>
        <w:spacing w:line="240" w:lineRule="auto"/>
        <w:rPr>
          <w:rFonts w:asciiTheme="majorHAnsi" w:hAnsiTheme="majorHAnsi"/>
        </w:rPr>
      </w:pPr>
      <w:r w:rsidRPr="00814964">
        <w:rPr>
          <w:rFonts w:asciiTheme="majorHAnsi" w:hAnsiTheme="majorHAnsi"/>
          <w:color w:val="000000"/>
        </w:rPr>
        <w:t xml:space="preserve">Textbook:   </w:t>
      </w:r>
      <w:r w:rsidRPr="00814964">
        <w:rPr>
          <w:rFonts w:asciiTheme="majorHAnsi" w:hAnsiTheme="majorHAnsi"/>
          <w:bCs/>
          <w:color w:val="000000"/>
        </w:rPr>
        <w:t>Michael Patrick Adams</w:t>
      </w:r>
      <w:r w:rsidRPr="00814964">
        <w:rPr>
          <w:rFonts w:asciiTheme="majorHAnsi" w:hAnsiTheme="majorHAnsi"/>
          <w:color w:val="000000"/>
        </w:rPr>
        <w:t xml:space="preserve">, </w:t>
      </w:r>
      <w:r w:rsidRPr="00814964">
        <w:rPr>
          <w:rFonts w:asciiTheme="majorHAnsi" w:hAnsiTheme="majorHAnsi"/>
          <w:iCs/>
          <w:color w:val="000000"/>
        </w:rPr>
        <w:t>Pasco-Hernando</w:t>
      </w:r>
      <w:r w:rsidRPr="00814964">
        <w:rPr>
          <w:rFonts w:asciiTheme="majorHAnsi" w:hAnsiTheme="majorHAnsi"/>
          <w:i/>
          <w:iCs/>
          <w:color w:val="000000"/>
        </w:rPr>
        <w:t xml:space="preserve">   </w:t>
      </w:r>
      <w:r w:rsidRPr="00814964">
        <w:rPr>
          <w:rFonts w:asciiTheme="majorHAnsi" w:hAnsiTheme="majorHAnsi"/>
          <w:bCs/>
          <w:i/>
          <w:color w:val="000000"/>
        </w:rPr>
        <w:t>Pharmacology: Connections to Nursing Practice, 2/E,</w:t>
      </w:r>
      <w:r w:rsidRPr="00814964">
        <w:rPr>
          <w:rFonts w:asciiTheme="majorHAnsi" w:hAnsiTheme="majorHAnsi"/>
          <w:bCs/>
          <w:color w:val="000000"/>
        </w:rPr>
        <w:t xml:space="preserve">  </w:t>
      </w:r>
      <w:r w:rsidRPr="00814964">
        <w:rPr>
          <w:rFonts w:asciiTheme="majorHAnsi" w:hAnsiTheme="majorHAnsi"/>
          <w:color w:val="000000"/>
        </w:rPr>
        <w:t xml:space="preserve">ISBN-10: 0132814420;  ISBN-13: 9780132814423.  </w:t>
      </w:r>
      <w:r w:rsidRPr="00814964">
        <w:rPr>
          <w:rFonts w:asciiTheme="majorHAnsi" w:hAnsiTheme="majorHAnsi"/>
          <w:iCs/>
          <w:color w:val="000000"/>
        </w:rPr>
        <w:t>Prentice-Hall, Inc., Upper Saddle River, NJ, 2013</w:t>
      </w:r>
      <w:r w:rsidRPr="00814964">
        <w:rPr>
          <w:rFonts w:asciiTheme="majorHAnsi" w:hAnsiTheme="majorHAnsi"/>
          <w:color w:val="000000"/>
        </w:rPr>
        <w:t>.  (Optional).</w:t>
      </w:r>
    </w:p>
    <w:p w14:paraId="7BF159B4" w14:textId="77777777" w:rsidR="00814964" w:rsidRPr="00814964" w:rsidRDefault="00814964" w:rsidP="00814964">
      <w:pPr>
        <w:numPr>
          <w:ilvl w:val="0"/>
          <w:numId w:val="8"/>
        </w:numPr>
        <w:spacing w:line="240" w:lineRule="auto"/>
        <w:rPr>
          <w:rFonts w:asciiTheme="majorHAnsi" w:hAnsiTheme="majorHAnsi"/>
          <w:color w:val="000000"/>
        </w:rPr>
      </w:pPr>
      <w:r w:rsidRPr="00814964">
        <w:rPr>
          <w:rFonts w:asciiTheme="majorHAnsi" w:hAnsiTheme="majorHAnsi"/>
          <w:color w:val="000000"/>
        </w:rPr>
        <w:t>Scientific Calculator.</w:t>
      </w:r>
    </w:p>
    <w:p w14:paraId="406EF44C" w14:textId="1B91AF8D" w:rsidR="00B30B98" w:rsidRDefault="00B30B98" w:rsidP="00B30B98">
      <w:pPr>
        <w:pStyle w:val="Heading3"/>
      </w:pPr>
      <w:r>
        <w:t>Course Website:</w:t>
      </w:r>
    </w:p>
    <w:p w14:paraId="13622EF0" w14:textId="351E6581" w:rsidR="005C3C00" w:rsidRDefault="003812D3" w:rsidP="00B30B98">
      <w:pPr>
        <w:pStyle w:val="Heading3"/>
        <w:rPr>
          <w:b w:val="0"/>
          <w:color w:val="auto"/>
          <w:sz w:val="22"/>
          <w:szCs w:val="22"/>
        </w:rPr>
      </w:pPr>
      <w:hyperlink r:id="rId14" w:history="1">
        <w:r w:rsidR="005C3C00" w:rsidRPr="0013216C">
          <w:rPr>
            <w:rStyle w:val="Hyperlink"/>
            <w:b w:val="0"/>
            <w:sz w:val="22"/>
            <w:szCs w:val="22"/>
          </w:rPr>
          <w:t>https://chaminade.instructure.com/courses/10086</w:t>
        </w:r>
      </w:hyperlink>
    </w:p>
    <w:p w14:paraId="37942EA9" w14:textId="38AF59C5" w:rsidR="00B30B98" w:rsidRDefault="00B30B98" w:rsidP="005C3C00">
      <w:pPr>
        <w:pStyle w:val="Heading3"/>
        <w:ind w:firstLine="360"/>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5"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6"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7"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8"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7B5D14C4"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 xml:space="preserve">Attendance is very important.  You will have attendance points deducted for every unexcused absence.  In addition, you will have in-class work problems directly associated with homework and quiz preparations.  </w:t>
      </w:r>
    </w:p>
    <w:p w14:paraId="3CF29099"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The course grades will be based on the following total points and scale:</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p>
    <w:p w14:paraId="40A21EEA" w14:textId="77777777" w:rsidR="005C3C00" w:rsidRPr="005C3C00" w:rsidRDefault="005C3C00" w:rsidP="005C3C00">
      <w:pPr>
        <w:widowControl w:val="0"/>
        <w:autoSpaceDE w:val="0"/>
        <w:autoSpaceDN w:val="0"/>
        <w:adjustRightInd w:val="0"/>
        <w:rPr>
          <w:rFonts w:asciiTheme="majorHAnsi" w:hAnsiTheme="majorHAnsi"/>
          <w:color w:val="000000"/>
          <w:u w:color="0000FF"/>
        </w:rPr>
      </w:pPr>
    </w:p>
    <w:p w14:paraId="2688CEFA" w14:textId="77777777" w:rsidR="005C3C00" w:rsidRPr="005C3C00" w:rsidRDefault="005C3C00" w:rsidP="005C3C00">
      <w:pPr>
        <w:widowControl w:val="0"/>
        <w:autoSpaceDE w:val="0"/>
        <w:autoSpaceDN w:val="0"/>
        <w:adjustRightInd w:val="0"/>
        <w:rPr>
          <w:rFonts w:asciiTheme="majorHAnsi" w:hAnsiTheme="majorHAnsi"/>
          <w:color w:val="000000"/>
          <w:u w:color="0000FF"/>
        </w:rPr>
      </w:pPr>
    </w:p>
    <w:p w14:paraId="697909BC"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p>
    <w:p w14:paraId="637764FC" w14:textId="77777777" w:rsidR="005C3C00" w:rsidRPr="005C3C00" w:rsidRDefault="005C3C00" w:rsidP="005C3C00">
      <w:pPr>
        <w:widowControl w:val="0"/>
        <w:autoSpaceDE w:val="0"/>
        <w:autoSpaceDN w:val="0"/>
        <w:adjustRightInd w:val="0"/>
        <w:rPr>
          <w:rFonts w:asciiTheme="majorHAnsi" w:hAnsiTheme="majorHAnsi"/>
          <w:color w:val="000000"/>
          <w:u w:val="single"/>
        </w:rPr>
      </w:pPr>
      <w:r w:rsidRPr="005C3C00">
        <w:rPr>
          <w:rFonts w:asciiTheme="majorHAnsi" w:hAnsiTheme="majorHAnsi"/>
          <w:color w:val="000000"/>
          <w:u w:val="single"/>
        </w:rPr>
        <w:t xml:space="preserve"> GRADE SCORE  ITEMIZATION</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val="single"/>
        </w:rPr>
        <w:t xml:space="preserve">       FINAL GRADE POINTS AND SCALE</w:t>
      </w:r>
      <w:r w:rsidRPr="005C3C00">
        <w:rPr>
          <w:rFonts w:asciiTheme="majorHAnsi" w:hAnsiTheme="majorHAnsi"/>
          <w:color w:val="000000"/>
          <w:u w:val="single"/>
        </w:rPr>
        <w:tab/>
      </w:r>
    </w:p>
    <w:p w14:paraId="766A02C4"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Class Attendance</w:t>
      </w:r>
      <w:r w:rsidRPr="005C3C00">
        <w:rPr>
          <w:rFonts w:asciiTheme="majorHAnsi" w:hAnsiTheme="majorHAnsi"/>
          <w:color w:val="000000"/>
          <w:u w:color="0000FF"/>
        </w:rPr>
        <w:tab/>
        <w:t>20</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A</w:t>
      </w:r>
      <w:r w:rsidRPr="005C3C00">
        <w:rPr>
          <w:rFonts w:asciiTheme="majorHAnsi" w:hAnsiTheme="majorHAnsi"/>
          <w:color w:val="000000"/>
          <w:u w:color="0000FF"/>
        </w:rPr>
        <w:tab/>
        <w:t xml:space="preserve">           585-650</w:t>
      </w:r>
      <w:r w:rsidRPr="005C3C00">
        <w:rPr>
          <w:rFonts w:asciiTheme="majorHAnsi" w:hAnsiTheme="majorHAnsi"/>
          <w:color w:val="000000"/>
          <w:u w:color="0000FF"/>
        </w:rPr>
        <w:tab/>
        <w:t>90-100 %</w:t>
      </w:r>
    </w:p>
    <w:p w14:paraId="5BF916A2"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Presentation*</w:t>
      </w:r>
      <w:r w:rsidRPr="005C3C00">
        <w:rPr>
          <w:rFonts w:asciiTheme="majorHAnsi" w:hAnsiTheme="majorHAnsi"/>
          <w:color w:val="000000"/>
          <w:u w:color="0000FF"/>
        </w:rPr>
        <w:tab/>
      </w:r>
      <w:r w:rsidRPr="005C3C00">
        <w:rPr>
          <w:rFonts w:asciiTheme="majorHAnsi" w:hAnsiTheme="majorHAnsi"/>
          <w:color w:val="000000"/>
          <w:u w:color="0000FF"/>
        </w:rPr>
        <w:tab/>
        <w:t>100</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B</w:t>
      </w:r>
      <w:r w:rsidRPr="005C3C00">
        <w:rPr>
          <w:rFonts w:asciiTheme="majorHAnsi" w:hAnsiTheme="majorHAnsi"/>
          <w:color w:val="000000"/>
          <w:u w:color="0000FF"/>
        </w:rPr>
        <w:tab/>
        <w:t xml:space="preserve">           520-584</w:t>
      </w:r>
      <w:r w:rsidRPr="005C3C00">
        <w:rPr>
          <w:rFonts w:asciiTheme="majorHAnsi" w:hAnsiTheme="majorHAnsi"/>
          <w:color w:val="000000"/>
          <w:u w:color="0000FF"/>
        </w:rPr>
        <w:tab/>
        <w:t>80-89 %</w:t>
      </w:r>
    </w:p>
    <w:p w14:paraId="7DE62162"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8 Quizzes</w:t>
      </w:r>
      <w:r w:rsidRPr="005C3C00">
        <w:rPr>
          <w:rFonts w:asciiTheme="majorHAnsi" w:hAnsiTheme="majorHAnsi"/>
          <w:color w:val="000000"/>
          <w:u w:color="0000FF"/>
        </w:rPr>
        <w:tab/>
      </w:r>
      <w:r w:rsidRPr="005C3C00">
        <w:rPr>
          <w:rFonts w:asciiTheme="majorHAnsi" w:hAnsiTheme="majorHAnsi"/>
          <w:color w:val="000000"/>
          <w:u w:color="0000FF"/>
        </w:rPr>
        <w:tab/>
        <w:t xml:space="preserve">80   </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C</w:t>
      </w:r>
      <w:r w:rsidRPr="005C3C00">
        <w:rPr>
          <w:rFonts w:asciiTheme="majorHAnsi" w:hAnsiTheme="majorHAnsi"/>
          <w:color w:val="000000"/>
          <w:u w:color="0000FF"/>
        </w:rPr>
        <w:tab/>
        <w:t xml:space="preserve">           422-519</w:t>
      </w:r>
      <w:r w:rsidRPr="005C3C00">
        <w:rPr>
          <w:rFonts w:asciiTheme="majorHAnsi" w:hAnsiTheme="majorHAnsi"/>
          <w:color w:val="000000"/>
          <w:u w:color="0000FF"/>
        </w:rPr>
        <w:tab/>
        <w:t>65-79 %</w:t>
      </w:r>
    </w:p>
    <w:p w14:paraId="009BB952"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2 Midterm exams</w:t>
      </w:r>
      <w:r w:rsidRPr="005C3C00">
        <w:rPr>
          <w:rFonts w:asciiTheme="majorHAnsi" w:hAnsiTheme="majorHAnsi"/>
          <w:color w:val="000000"/>
          <w:u w:color="0000FF"/>
        </w:rPr>
        <w:tab/>
        <w:t>300</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D</w:t>
      </w:r>
      <w:r w:rsidRPr="005C3C00">
        <w:rPr>
          <w:rFonts w:asciiTheme="majorHAnsi" w:hAnsiTheme="majorHAnsi"/>
          <w:color w:val="000000"/>
          <w:u w:color="0000FF"/>
        </w:rPr>
        <w:tab/>
        <w:t xml:space="preserve">           292-421</w:t>
      </w:r>
      <w:r w:rsidRPr="005C3C00">
        <w:rPr>
          <w:rFonts w:asciiTheme="majorHAnsi" w:hAnsiTheme="majorHAnsi"/>
          <w:color w:val="000000"/>
          <w:u w:color="0000FF"/>
        </w:rPr>
        <w:tab/>
        <w:t>45-64 %</w:t>
      </w:r>
    </w:p>
    <w:p w14:paraId="7121370F"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val="single"/>
        </w:rPr>
        <w:t>Final exam</w:t>
      </w:r>
      <w:r w:rsidRPr="005C3C00">
        <w:rPr>
          <w:rFonts w:asciiTheme="majorHAnsi" w:hAnsiTheme="majorHAnsi"/>
          <w:color w:val="000000"/>
          <w:u w:val="single"/>
        </w:rPr>
        <w:tab/>
      </w:r>
      <w:r w:rsidRPr="005C3C00">
        <w:rPr>
          <w:rFonts w:asciiTheme="majorHAnsi" w:hAnsiTheme="majorHAnsi"/>
          <w:color w:val="000000"/>
          <w:u w:val="single"/>
        </w:rPr>
        <w:tab/>
        <w:t>150</w:t>
      </w:r>
      <w:r w:rsidRPr="005C3C00">
        <w:rPr>
          <w:rFonts w:asciiTheme="majorHAnsi" w:hAnsiTheme="majorHAnsi"/>
          <w:color w:val="000000"/>
          <w:u w:color="0000FF"/>
        </w:rPr>
        <w:t xml:space="preserve"> </w:t>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r>
      <w:r w:rsidRPr="005C3C00">
        <w:rPr>
          <w:rFonts w:asciiTheme="majorHAnsi" w:hAnsiTheme="majorHAnsi"/>
          <w:color w:val="000000"/>
          <w:u w:color="0000FF"/>
        </w:rPr>
        <w:tab/>
        <w:t>Fail</w:t>
      </w:r>
      <w:r w:rsidRPr="005C3C00">
        <w:rPr>
          <w:rFonts w:asciiTheme="majorHAnsi" w:hAnsiTheme="majorHAnsi"/>
          <w:color w:val="000000"/>
          <w:u w:color="0000FF"/>
        </w:rPr>
        <w:tab/>
        <w:t xml:space="preserve">          below 292</w:t>
      </w:r>
      <w:r w:rsidRPr="005C3C00">
        <w:rPr>
          <w:rFonts w:asciiTheme="majorHAnsi" w:hAnsiTheme="majorHAnsi"/>
          <w:color w:val="000000"/>
          <w:u w:color="0000FF"/>
        </w:rPr>
        <w:tab/>
        <w:t>below 45%</w:t>
      </w:r>
    </w:p>
    <w:p w14:paraId="224A241A" w14:textId="77777777" w:rsidR="005C3C00" w:rsidRPr="005C3C00" w:rsidRDefault="005C3C00" w:rsidP="005C3C00">
      <w:pPr>
        <w:widowControl w:val="0"/>
        <w:autoSpaceDE w:val="0"/>
        <w:autoSpaceDN w:val="0"/>
        <w:adjustRightInd w:val="0"/>
        <w:rPr>
          <w:rFonts w:asciiTheme="majorHAnsi" w:hAnsiTheme="majorHAnsi"/>
          <w:color w:val="000000"/>
          <w:u w:color="0000FF"/>
        </w:rPr>
      </w:pPr>
      <w:r w:rsidRPr="005C3C00">
        <w:rPr>
          <w:rFonts w:asciiTheme="majorHAnsi" w:hAnsiTheme="majorHAnsi"/>
          <w:color w:val="000000"/>
          <w:u w:color="0000FF"/>
        </w:rPr>
        <w:tab/>
        <w:t>Total Points:   650</w:t>
      </w:r>
    </w:p>
    <w:p w14:paraId="1157BCCF" w14:textId="77777777" w:rsidR="005C3C00" w:rsidRPr="005C3C00" w:rsidRDefault="005C3C00" w:rsidP="005C3C00">
      <w:pPr>
        <w:widowControl w:val="0"/>
        <w:autoSpaceDE w:val="0"/>
        <w:autoSpaceDN w:val="0"/>
        <w:adjustRightInd w:val="0"/>
        <w:rPr>
          <w:rFonts w:asciiTheme="majorHAnsi" w:hAnsiTheme="majorHAnsi"/>
          <w:color w:val="000000"/>
          <w:u w:color="0000FF"/>
        </w:rPr>
      </w:pPr>
    </w:p>
    <w:p w14:paraId="7B537824" w14:textId="7DB26744" w:rsidR="00B244B9" w:rsidRPr="005C3C00" w:rsidRDefault="005C3C00" w:rsidP="005C3C00">
      <w:pPr>
        <w:widowControl w:val="0"/>
        <w:autoSpaceDE w:val="0"/>
        <w:autoSpaceDN w:val="0"/>
        <w:adjustRightInd w:val="0"/>
        <w:rPr>
          <w:rFonts w:asciiTheme="majorHAnsi" w:hAnsiTheme="majorHAnsi"/>
          <w:color w:val="000000"/>
          <w:sz w:val="16"/>
          <w:u w:color="0000FF"/>
        </w:rPr>
      </w:pPr>
      <w:r w:rsidRPr="005C3C00">
        <w:rPr>
          <w:rFonts w:asciiTheme="majorHAnsi" w:hAnsiTheme="majorHAnsi"/>
          <w:color w:val="000000"/>
          <w:sz w:val="16"/>
          <w:u w:color="0000FF"/>
        </w:rPr>
        <w:t>*You will have one to two PowerPoint format presentation on select specialized topics in Pharmacology.  Each presentation will be at least 20 min.</w:t>
      </w:r>
    </w:p>
    <w:p w14:paraId="7B537825" w14:textId="77777777" w:rsidR="00B244B9" w:rsidRPr="005C3C00" w:rsidRDefault="003824EF">
      <w:pPr>
        <w:pStyle w:val="Heading3"/>
        <w:rPr>
          <w:rFonts w:asciiTheme="majorHAnsi" w:hAnsiTheme="majorHAnsi"/>
          <w:color w:val="000000"/>
          <w:sz w:val="22"/>
          <w:szCs w:val="22"/>
        </w:rPr>
      </w:pPr>
      <w:bookmarkStart w:id="9" w:name="_7961evk6e563" w:colFirst="0" w:colLast="0"/>
      <w:bookmarkEnd w:id="9"/>
      <w:r w:rsidRPr="005C3C00">
        <w:rPr>
          <w:rFonts w:asciiTheme="majorHAnsi" w:hAnsiTheme="majorHAnsi"/>
          <w:color w:val="000000"/>
          <w:sz w:val="22"/>
          <w:szCs w:val="22"/>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bookmarkStart w:id="10" w:name="_27in7lbdf8w7" w:colFirst="0" w:colLast="0"/>
      <w:bookmarkStart w:id="11" w:name="_n28fpzhjrej7" w:colFirst="0" w:colLast="0"/>
      <w:bookmarkStart w:id="12" w:name="_ssueod6e3xwc" w:colFirst="0" w:colLast="0"/>
      <w:bookmarkEnd w:id="10"/>
      <w:bookmarkEnd w:id="11"/>
      <w:bookmarkEnd w:id="12"/>
    </w:p>
    <w:p w14:paraId="7B53784E" w14:textId="77777777" w:rsidR="00B244B9" w:rsidRDefault="003824EF">
      <w:pPr>
        <w:pStyle w:val="Heading3"/>
      </w:pPr>
      <w:bookmarkStart w:id="13" w:name="_kxcnphdmd0vo" w:colFirst="0" w:colLast="0"/>
      <w:bookmarkEnd w:id="13"/>
      <w:r>
        <w:lastRenderedPageBreak/>
        <w:t xml:space="preserve">Schedule </w:t>
      </w:r>
    </w:p>
    <w:p w14:paraId="13575EDE" w14:textId="522F410F" w:rsidR="00605C38" w:rsidRPr="00605C38" w:rsidRDefault="00605C38" w:rsidP="00605C38">
      <w:pPr>
        <w:ind w:right="-1440"/>
        <w:rPr>
          <w:rFonts w:asciiTheme="majorHAnsi" w:hAnsiTheme="majorHAnsi"/>
          <w:b/>
          <w:bCs/>
          <w:u w:val="single"/>
        </w:rPr>
      </w:pPr>
      <w:r w:rsidRPr="00605C38">
        <w:rPr>
          <w:rFonts w:asciiTheme="majorHAnsi" w:hAnsiTheme="majorHAnsi"/>
          <w:b/>
          <w:sz w:val="21"/>
          <w:u w:val="single"/>
        </w:rPr>
        <w:t>Week(s) of:</w:t>
      </w:r>
      <w:r w:rsidRPr="00605C38">
        <w:rPr>
          <w:rFonts w:asciiTheme="majorHAnsi" w:hAnsiTheme="majorHAnsi"/>
          <w:b/>
          <w:sz w:val="21"/>
          <w:u w:val="single"/>
        </w:rPr>
        <w:tab/>
      </w:r>
      <w:r w:rsidRPr="00605C38">
        <w:rPr>
          <w:rFonts w:asciiTheme="majorHAnsi" w:hAnsiTheme="majorHAnsi"/>
          <w:b/>
          <w:sz w:val="21"/>
          <w:u w:val="single"/>
        </w:rPr>
        <w:tab/>
        <w:t>Chapter &amp; Topics</w:t>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r w:rsidRPr="00605C38">
        <w:rPr>
          <w:rFonts w:asciiTheme="majorHAnsi" w:hAnsiTheme="majorHAnsi"/>
          <w:b/>
          <w:u w:val="single"/>
        </w:rPr>
        <w:tab/>
      </w:r>
    </w:p>
    <w:p w14:paraId="19DF15CF" w14:textId="77777777" w:rsidR="00605C38" w:rsidRPr="00500725" w:rsidRDefault="00605C38" w:rsidP="00605C38">
      <w:pPr>
        <w:ind w:right="-1440"/>
        <w:rPr>
          <w:bCs/>
        </w:rPr>
      </w:pPr>
    </w:p>
    <w:p w14:paraId="1E5471A8" w14:textId="77777777" w:rsidR="00605C38" w:rsidRDefault="00605C38" w:rsidP="00605C38">
      <w:r>
        <w:rPr>
          <w:rFonts w:ascii="Verdana" w:hAnsi="Verdana"/>
          <w:b/>
          <w:bCs/>
          <w:color w:val="000000"/>
          <w:sz w:val="15"/>
          <w:szCs w:val="15"/>
        </w:rPr>
        <w:t>1 &amp; 2</w:t>
      </w:r>
      <w:r>
        <w:rPr>
          <w:rFonts w:ascii="Verdana" w:hAnsi="Verdana"/>
          <w:b/>
          <w:bCs/>
          <w:color w:val="000000"/>
          <w:sz w:val="15"/>
          <w:szCs w:val="15"/>
        </w:rPr>
        <w:tab/>
        <w:t>Unit 1. Fundamental Principles of Pharmacology</w:t>
      </w:r>
    </w:p>
    <w:p w14:paraId="2898EA23" w14:textId="77777777" w:rsidR="00605C38" w:rsidRDefault="00605C38" w:rsidP="00605C38">
      <w:pPr>
        <w:ind w:left="720"/>
      </w:pPr>
      <w:r>
        <w:rPr>
          <w:rFonts w:ascii="Verdana" w:hAnsi="Verdana"/>
          <w:color w:val="000000"/>
          <w:sz w:val="15"/>
          <w:szCs w:val="15"/>
        </w:rPr>
        <w:t>1. Introduction to Pharmacology: Concepts and Connections</w:t>
      </w:r>
    </w:p>
    <w:p w14:paraId="0D5B0BB9" w14:textId="77777777" w:rsidR="00605C38" w:rsidRDefault="00605C38" w:rsidP="00605C38">
      <w:pPr>
        <w:ind w:left="720"/>
      </w:pPr>
      <w:r>
        <w:rPr>
          <w:rFonts w:ascii="Verdana" w:hAnsi="Verdana"/>
          <w:color w:val="000000"/>
          <w:sz w:val="15"/>
          <w:szCs w:val="15"/>
        </w:rPr>
        <w:t>2. Drug Regulations</w:t>
      </w:r>
    </w:p>
    <w:p w14:paraId="78DD64DC" w14:textId="77777777" w:rsidR="00605C38" w:rsidRDefault="00605C38" w:rsidP="00605C38">
      <w:pPr>
        <w:ind w:left="720"/>
      </w:pPr>
      <w:r>
        <w:rPr>
          <w:rFonts w:ascii="Verdana" w:hAnsi="Verdana"/>
          <w:color w:val="000000"/>
          <w:sz w:val="15"/>
          <w:szCs w:val="15"/>
        </w:rPr>
        <w:t>3. Principles of Drug Administration</w:t>
      </w:r>
    </w:p>
    <w:p w14:paraId="60735603" w14:textId="77777777" w:rsidR="00605C38" w:rsidRDefault="00605C38" w:rsidP="00605C38">
      <w:pPr>
        <w:ind w:left="720"/>
      </w:pPr>
      <w:r>
        <w:rPr>
          <w:rFonts w:ascii="Verdana" w:hAnsi="Verdana"/>
          <w:color w:val="000000"/>
          <w:sz w:val="15"/>
          <w:szCs w:val="15"/>
        </w:rPr>
        <w:t>4. Pharmacokinetics</w:t>
      </w:r>
    </w:p>
    <w:p w14:paraId="43B7A84D" w14:textId="77777777" w:rsidR="00605C38" w:rsidRDefault="00605C38" w:rsidP="00605C38">
      <w:pPr>
        <w:ind w:left="720"/>
      </w:pPr>
      <w:r>
        <w:rPr>
          <w:rFonts w:ascii="Verdana" w:hAnsi="Verdana"/>
          <w:color w:val="000000"/>
          <w:sz w:val="15"/>
          <w:szCs w:val="15"/>
        </w:rPr>
        <w:t>5. Pharmacodynamics</w:t>
      </w:r>
    </w:p>
    <w:p w14:paraId="77C06B6F" w14:textId="77777777" w:rsidR="00605C38" w:rsidRDefault="00605C38" w:rsidP="00605C38">
      <w:pPr>
        <w:ind w:left="720"/>
      </w:pPr>
      <w:r>
        <w:rPr>
          <w:rFonts w:ascii="Verdana" w:hAnsi="Verdana"/>
          <w:color w:val="000000"/>
          <w:sz w:val="15"/>
          <w:szCs w:val="15"/>
        </w:rPr>
        <w:t>6. Adverse Drug Effects and Drug Interactions</w:t>
      </w:r>
    </w:p>
    <w:p w14:paraId="2BE67CE2" w14:textId="77777777" w:rsidR="00605C38" w:rsidRDefault="00605C38" w:rsidP="00605C38">
      <w:pPr>
        <w:ind w:left="720"/>
      </w:pPr>
      <w:r>
        <w:rPr>
          <w:rFonts w:ascii="Verdana" w:hAnsi="Verdana"/>
          <w:color w:val="000000"/>
          <w:sz w:val="15"/>
          <w:szCs w:val="15"/>
        </w:rPr>
        <w:t>7. Medication Errors and Risk Reduction</w:t>
      </w:r>
    </w:p>
    <w:p w14:paraId="4451B1CF" w14:textId="77777777" w:rsidR="00605C38" w:rsidRDefault="00605C38" w:rsidP="00605C38">
      <w:pPr>
        <w:ind w:left="720"/>
      </w:pPr>
      <w:r>
        <w:rPr>
          <w:rFonts w:ascii="Verdana" w:hAnsi="Verdana"/>
          <w:color w:val="000000"/>
          <w:sz w:val="15"/>
          <w:szCs w:val="15"/>
        </w:rPr>
        <w:t>8. Pharmacology of Substance Abuse</w:t>
      </w:r>
    </w:p>
    <w:p w14:paraId="0D1F2586" w14:textId="77777777" w:rsidR="00605C38" w:rsidRDefault="00605C38" w:rsidP="00605C38">
      <w:r>
        <w:rPr>
          <w:rFonts w:ascii="Verdana" w:hAnsi="Verdana"/>
          <w:b/>
          <w:bCs/>
          <w:color w:val="000000"/>
          <w:sz w:val="15"/>
          <w:szCs w:val="15"/>
        </w:rPr>
        <w:t>3 &amp; 4</w:t>
      </w:r>
      <w:r>
        <w:rPr>
          <w:rFonts w:ascii="Verdana" w:hAnsi="Verdana"/>
          <w:b/>
          <w:bCs/>
          <w:color w:val="000000"/>
          <w:sz w:val="15"/>
          <w:szCs w:val="15"/>
        </w:rPr>
        <w:tab/>
        <w:t>Unit 2. Pharmacology and the Nurse-Patient Relationship</w:t>
      </w:r>
    </w:p>
    <w:p w14:paraId="7EEF388D" w14:textId="77777777" w:rsidR="00605C38" w:rsidRDefault="00605C38" w:rsidP="00605C38">
      <w:pPr>
        <w:ind w:left="720"/>
      </w:pPr>
      <w:r>
        <w:rPr>
          <w:rFonts w:ascii="Verdana" w:hAnsi="Verdana"/>
          <w:color w:val="000000"/>
          <w:sz w:val="15"/>
          <w:szCs w:val="15"/>
        </w:rPr>
        <w:t>9. Pharmacology and the Nursing Process</w:t>
      </w:r>
    </w:p>
    <w:p w14:paraId="3A59863D" w14:textId="77777777" w:rsidR="00605C38" w:rsidRDefault="00605C38" w:rsidP="00605C38">
      <w:pPr>
        <w:ind w:left="720"/>
      </w:pPr>
      <w:r>
        <w:rPr>
          <w:rFonts w:ascii="Verdana" w:hAnsi="Verdana"/>
          <w:color w:val="000000"/>
          <w:sz w:val="15"/>
          <w:szCs w:val="15"/>
        </w:rPr>
        <w:t>10. Pharmacotherapy During Pregnancy and Lactation</w:t>
      </w:r>
    </w:p>
    <w:p w14:paraId="177FA64F" w14:textId="77777777" w:rsidR="00605C38" w:rsidRDefault="00605C38" w:rsidP="00605C38">
      <w:pPr>
        <w:ind w:left="720"/>
      </w:pPr>
      <w:r>
        <w:rPr>
          <w:rFonts w:ascii="Verdana" w:hAnsi="Verdana"/>
          <w:color w:val="000000"/>
          <w:sz w:val="15"/>
          <w:szCs w:val="15"/>
        </w:rPr>
        <w:t>11. Pharmacotherapy of the Pediatric Patient</w:t>
      </w:r>
    </w:p>
    <w:p w14:paraId="171BD781" w14:textId="77777777" w:rsidR="00605C38" w:rsidRDefault="00605C38" w:rsidP="00605C38">
      <w:pPr>
        <w:ind w:left="720"/>
      </w:pPr>
      <w:r>
        <w:rPr>
          <w:rFonts w:ascii="Verdana" w:hAnsi="Verdana"/>
          <w:color w:val="000000"/>
          <w:sz w:val="15"/>
          <w:szCs w:val="15"/>
        </w:rPr>
        <w:t>12. Pharmacotherapy of the Geriatric Patient</w:t>
      </w:r>
    </w:p>
    <w:p w14:paraId="22272930" w14:textId="77777777" w:rsidR="00605C38" w:rsidRDefault="00605C38" w:rsidP="00605C38">
      <w:pPr>
        <w:ind w:left="720"/>
      </w:pPr>
      <w:r>
        <w:rPr>
          <w:rFonts w:ascii="Verdana" w:hAnsi="Verdana"/>
          <w:color w:val="000000"/>
          <w:sz w:val="15"/>
          <w:szCs w:val="15"/>
        </w:rPr>
        <w:t>13. Psychosocial, Gender, and Cultural Influences on Pharmacotherapy</w:t>
      </w:r>
    </w:p>
    <w:p w14:paraId="5363C830" w14:textId="77777777" w:rsidR="00605C38" w:rsidRDefault="00605C38" w:rsidP="00605C38">
      <w:pPr>
        <w:ind w:left="720"/>
      </w:pPr>
      <w:r>
        <w:rPr>
          <w:rFonts w:ascii="Verdana" w:hAnsi="Verdana"/>
          <w:color w:val="000000"/>
          <w:sz w:val="15"/>
          <w:szCs w:val="15"/>
        </w:rPr>
        <w:t>14. Pharmacotherapy and Population-Based Care</w:t>
      </w:r>
    </w:p>
    <w:p w14:paraId="3603CAA8" w14:textId="77777777" w:rsidR="00605C38" w:rsidRDefault="00605C38" w:rsidP="00605C38">
      <w:pPr>
        <w:ind w:left="720"/>
      </w:pPr>
      <w:r>
        <w:rPr>
          <w:rFonts w:ascii="Verdana" w:hAnsi="Verdana"/>
          <w:color w:val="000000"/>
          <w:sz w:val="15"/>
          <w:szCs w:val="15"/>
        </w:rPr>
        <w:t>15. The Role of Complementary and Alternative Therapies in Pharmacotherapy</w:t>
      </w:r>
    </w:p>
    <w:p w14:paraId="4A82541D" w14:textId="77777777" w:rsidR="00605C38" w:rsidRDefault="00605C38" w:rsidP="00605C38">
      <w:r>
        <w:rPr>
          <w:rFonts w:ascii="Verdana" w:hAnsi="Verdana"/>
          <w:b/>
          <w:bCs/>
          <w:color w:val="000000"/>
          <w:sz w:val="15"/>
          <w:szCs w:val="15"/>
        </w:rPr>
        <w:t>5 &amp; 6</w:t>
      </w:r>
      <w:r>
        <w:rPr>
          <w:rFonts w:ascii="Verdana" w:hAnsi="Verdana"/>
          <w:b/>
          <w:bCs/>
          <w:color w:val="000000"/>
          <w:sz w:val="15"/>
          <w:szCs w:val="15"/>
        </w:rPr>
        <w:tab/>
        <w:t>Unit 3. Pharmacology of the Autonomic Nervous System</w:t>
      </w:r>
    </w:p>
    <w:p w14:paraId="04E1C883" w14:textId="77777777" w:rsidR="00605C38" w:rsidRDefault="00605C38" w:rsidP="00605C38">
      <w:pPr>
        <w:ind w:left="720"/>
      </w:pPr>
      <w:r>
        <w:rPr>
          <w:rFonts w:ascii="Verdana" w:hAnsi="Verdana"/>
          <w:color w:val="000000"/>
          <w:sz w:val="15"/>
          <w:szCs w:val="15"/>
        </w:rPr>
        <w:t>16. Review of Neurotransmitters and the Autonomic Nervous System</w:t>
      </w:r>
    </w:p>
    <w:p w14:paraId="64D5F340" w14:textId="77777777" w:rsidR="00605C38" w:rsidRDefault="00605C38" w:rsidP="00605C38">
      <w:pPr>
        <w:ind w:left="720"/>
      </w:pPr>
      <w:r>
        <w:rPr>
          <w:rFonts w:ascii="Verdana" w:hAnsi="Verdana"/>
          <w:color w:val="000000"/>
          <w:sz w:val="15"/>
          <w:szCs w:val="15"/>
        </w:rPr>
        <w:t>17. Cholinergic Agonists</w:t>
      </w:r>
    </w:p>
    <w:p w14:paraId="7EE1B7C9" w14:textId="77777777" w:rsidR="00605C38" w:rsidRDefault="00605C38" w:rsidP="00605C38">
      <w:pPr>
        <w:ind w:left="720"/>
      </w:pPr>
      <w:r>
        <w:rPr>
          <w:rFonts w:ascii="Verdana" w:hAnsi="Verdana"/>
          <w:color w:val="000000"/>
          <w:sz w:val="15"/>
          <w:szCs w:val="15"/>
        </w:rPr>
        <w:t>18. Cholinergic Antagonists</w:t>
      </w:r>
    </w:p>
    <w:p w14:paraId="34549C8C" w14:textId="77777777" w:rsidR="00605C38" w:rsidRDefault="00605C38" w:rsidP="00605C38">
      <w:pPr>
        <w:ind w:left="720"/>
      </w:pPr>
      <w:r>
        <w:rPr>
          <w:rFonts w:ascii="Verdana" w:hAnsi="Verdana"/>
          <w:color w:val="000000"/>
          <w:sz w:val="15"/>
          <w:szCs w:val="15"/>
        </w:rPr>
        <w:t>19. Adrenergic Agonists</w:t>
      </w:r>
    </w:p>
    <w:p w14:paraId="2D066A85" w14:textId="77777777" w:rsidR="00605C38" w:rsidRDefault="00605C38" w:rsidP="00605C38">
      <w:pPr>
        <w:ind w:left="720"/>
      </w:pPr>
      <w:r>
        <w:rPr>
          <w:rFonts w:ascii="Verdana" w:hAnsi="Verdana"/>
          <w:color w:val="000000"/>
          <w:sz w:val="15"/>
          <w:szCs w:val="15"/>
        </w:rPr>
        <w:t>20. Adrenergic Antagonists</w:t>
      </w:r>
    </w:p>
    <w:p w14:paraId="6A314AFA" w14:textId="77777777" w:rsidR="00605C38" w:rsidRDefault="00605C38" w:rsidP="00605C38">
      <w:r>
        <w:rPr>
          <w:rFonts w:ascii="Verdana" w:hAnsi="Verdana"/>
          <w:b/>
          <w:bCs/>
          <w:color w:val="000000"/>
          <w:sz w:val="15"/>
          <w:szCs w:val="15"/>
        </w:rPr>
        <w:t>7 &amp; 8</w:t>
      </w:r>
      <w:r>
        <w:rPr>
          <w:rFonts w:ascii="Verdana" w:hAnsi="Verdana"/>
          <w:b/>
          <w:bCs/>
          <w:color w:val="000000"/>
          <w:sz w:val="15"/>
          <w:szCs w:val="15"/>
        </w:rPr>
        <w:tab/>
        <w:t>Unit 4. Pharmacology of the Central Nervous System</w:t>
      </w:r>
    </w:p>
    <w:p w14:paraId="001650C9" w14:textId="77777777" w:rsidR="00605C38" w:rsidRDefault="00605C38" w:rsidP="00605C38">
      <w:pPr>
        <w:ind w:left="720"/>
      </w:pPr>
      <w:r>
        <w:rPr>
          <w:rFonts w:ascii="Verdana" w:hAnsi="Verdana"/>
          <w:color w:val="000000"/>
          <w:sz w:val="15"/>
          <w:szCs w:val="15"/>
        </w:rPr>
        <w:t>21. Review of the Central Nervous System</w:t>
      </w:r>
    </w:p>
    <w:p w14:paraId="7325DB13" w14:textId="77777777" w:rsidR="00605C38" w:rsidRDefault="00605C38" w:rsidP="00605C38">
      <w:pPr>
        <w:ind w:left="720"/>
      </w:pPr>
      <w:r>
        <w:rPr>
          <w:rFonts w:ascii="Verdana" w:hAnsi="Verdana"/>
          <w:color w:val="000000"/>
          <w:sz w:val="15"/>
          <w:szCs w:val="15"/>
        </w:rPr>
        <w:t>22. Pharmacotherapy of Anxiety and Insomnia</w:t>
      </w:r>
    </w:p>
    <w:p w14:paraId="0E52609E" w14:textId="77777777" w:rsidR="00605C38" w:rsidRDefault="00605C38" w:rsidP="00605C38">
      <w:pPr>
        <w:ind w:left="720"/>
      </w:pPr>
      <w:r>
        <w:rPr>
          <w:rFonts w:ascii="Verdana" w:hAnsi="Verdana"/>
          <w:color w:val="000000"/>
          <w:sz w:val="15"/>
          <w:szCs w:val="15"/>
        </w:rPr>
        <w:t>23. Pharmacotherapy of Mood Disorders</w:t>
      </w:r>
    </w:p>
    <w:p w14:paraId="09514021" w14:textId="77777777" w:rsidR="00605C38" w:rsidRDefault="00605C38" w:rsidP="00605C38">
      <w:pPr>
        <w:ind w:left="720"/>
      </w:pPr>
      <w:r>
        <w:rPr>
          <w:rFonts w:ascii="Verdana" w:hAnsi="Verdana"/>
          <w:color w:val="000000"/>
          <w:sz w:val="15"/>
          <w:szCs w:val="15"/>
        </w:rPr>
        <w:t>24. Pharmacotherapy of Psychoses</w:t>
      </w:r>
    </w:p>
    <w:p w14:paraId="0D15E458" w14:textId="77777777" w:rsidR="00605C38" w:rsidRDefault="00605C38" w:rsidP="00605C38">
      <w:pPr>
        <w:ind w:left="720"/>
      </w:pPr>
      <w:r>
        <w:rPr>
          <w:rFonts w:ascii="Verdana" w:hAnsi="Verdana"/>
          <w:color w:val="000000"/>
          <w:sz w:val="15"/>
          <w:szCs w:val="15"/>
        </w:rPr>
        <w:t>25. Pharmacotherapy of Degenerative Diseases of the Central Nervous System</w:t>
      </w:r>
    </w:p>
    <w:p w14:paraId="1BE5B9D8" w14:textId="77777777" w:rsidR="00605C38" w:rsidRDefault="00605C38" w:rsidP="00605C38">
      <w:pPr>
        <w:ind w:left="720"/>
      </w:pPr>
      <w:r>
        <w:rPr>
          <w:rFonts w:ascii="Verdana" w:hAnsi="Verdana"/>
          <w:color w:val="000000"/>
          <w:sz w:val="15"/>
          <w:szCs w:val="15"/>
        </w:rPr>
        <w:t>26. Pharmacotherapy of Seizures</w:t>
      </w:r>
    </w:p>
    <w:p w14:paraId="57175DF2" w14:textId="77777777" w:rsidR="00605C38" w:rsidRDefault="00605C38" w:rsidP="00605C38">
      <w:pPr>
        <w:ind w:left="720"/>
      </w:pPr>
      <w:r>
        <w:rPr>
          <w:rFonts w:ascii="Verdana" w:hAnsi="Verdana"/>
          <w:color w:val="000000"/>
          <w:sz w:val="15"/>
          <w:szCs w:val="15"/>
        </w:rPr>
        <w:t>27. Pharmacotherapy of Muscle Spasms and Spasticity</w:t>
      </w:r>
    </w:p>
    <w:p w14:paraId="367BFBE2" w14:textId="77777777" w:rsidR="00605C38" w:rsidRDefault="00605C38" w:rsidP="00605C38">
      <w:pPr>
        <w:ind w:left="720"/>
      </w:pPr>
      <w:r>
        <w:rPr>
          <w:rFonts w:ascii="Verdana" w:hAnsi="Verdana"/>
          <w:color w:val="000000"/>
          <w:sz w:val="15"/>
          <w:szCs w:val="15"/>
        </w:rPr>
        <w:t>28. Central Nervous System Stimulants and Drugs for Attention/Deficit Hyperactivity Disorder</w:t>
      </w:r>
    </w:p>
    <w:p w14:paraId="4D7AE751" w14:textId="77777777" w:rsidR="00605C38" w:rsidRDefault="00605C38" w:rsidP="00605C38">
      <w:pPr>
        <w:ind w:left="720"/>
      </w:pPr>
      <w:r>
        <w:rPr>
          <w:rFonts w:ascii="Verdana" w:hAnsi="Verdana"/>
          <w:color w:val="000000"/>
          <w:sz w:val="15"/>
          <w:szCs w:val="15"/>
        </w:rPr>
        <w:t>29. Pharmacotherapy of Severe Pain and Migraines</w:t>
      </w:r>
    </w:p>
    <w:p w14:paraId="7F08DC93" w14:textId="77777777" w:rsidR="00605C38" w:rsidRDefault="00605C38" w:rsidP="00605C38">
      <w:pPr>
        <w:ind w:left="720"/>
      </w:pPr>
      <w:r>
        <w:rPr>
          <w:rFonts w:ascii="Verdana" w:hAnsi="Verdana"/>
          <w:color w:val="000000"/>
          <w:sz w:val="15"/>
          <w:szCs w:val="15"/>
        </w:rPr>
        <w:t>30. Anesthetics and Anesthesia Adjuncts</w:t>
      </w:r>
    </w:p>
    <w:p w14:paraId="1202DE8E" w14:textId="77777777" w:rsidR="00605C38" w:rsidRDefault="00605C38" w:rsidP="00605C38">
      <w:r>
        <w:rPr>
          <w:rFonts w:ascii="Verdana" w:hAnsi="Verdana"/>
          <w:b/>
          <w:bCs/>
          <w:color w:val="000000"/>
          <w:sz w:val="15"/>
          <w:szCs w:val="15"/>
        </w:rPr>
        <w:t>9</w:t>
      </w:r>
      <w:r>
        <w:rPr>
          <w:rFonts w:ascii="Verdana" w:hAnsi="Verdana"/>
          <w:b/>
          <w:bCs/>
          <w:color w:val="000000"/>
          <w:sz w:val="15"/>
          <w:szCs w:val="15"/>
        </w:rPr>
        <w:tab/>
        <w:t>Unit 5. Pharmacology of the Cardiovascular System</w:t>
      </w:r>
    </w:p>
    <w:p w14:paraId="13209779" w14:textId="77777777" w:rsidR="00605C38" w:rsidRDefault="00605C38" w:rsidP="00605C38">
      <w:pPr>
        <w:ind w:left="720"/>
      </w:pPr>
      <w:r>
        <w:rPr>
          <w:rFonts w:ascii="Verdana" w:hAnsi="Verdana"/>
          <w:color w:val="000000"/>
          <w:sz w:val="15"/>
          <w:szCs w:val="15"/>
        </w:rPr>
        <w:t>31. Review of the Cardiovascular System</w:t>
      </w:r>
    </w:p>
    <w:p w14:paraId="645FC509" w14:textId="77777777" w:rsidR="00605C38" w:rsidRDefault="00605C38" w:rsidP="00605C38">
      <w:pPr>
        <w:ind w:left="720"/>
      </w:pPr>
      <w:r>
        <w:rPr>
          <w:rFonts w:ascii="Verdana" w:hAnsi="Verdana"/>
          <w:color w:val="000000"/>
          <w:sz w:val="15"/>
          <w:szCs w:val="15"/>
        </w:rPr>
        <w:t>32. Pharmacotherapy of Hyperlipidemia</w:t>
      </w:r>
    </w:p>
    <w:p w14:paraId="4916E06E" w14:textId="77777777" w:rsidR="00605C38" w:rsidRDefault="00605C38" w:rsidP="00605C38">
      <w:pPr>
        <w:ind w:left="720"/>
      </w:pPr>
      <w:r>
        <w:rPr>
          <w:rFonts w:ascii="Verdana" w:hAnsi="Verdana"/>
          <w:color w:val="000000"/>
          <w:sz w:val="15"/>
          <w:szCs w:val="15"/>
        </w:rPr>
        <w:t>33. Calcium Channel Blockers</w:t>
      </w:r>
    </w:p>
    <w:p w14:paraId="0DACC6F6" w14:textId="77777777" w:rsidR="00605C38" w:rsidRDefault="00605C38" w:rsidP="00605C38">
      <w:pPr>
        <w:ind w:left="720"/>
      </w:pPr>
      <w:r>
        <w:rPr>
          <w:rFonts w:ascii="Verdana" w:hAnsi="Verdana"/>
          <w:color w:val="000000"/>
          <w:sz w:val="15"/>
          <w:szCs w:val="15"/>
        </w:rPr>
        <w:t>34. Drugs Affecting the Renin-Angiotensin-Aldosterone System</w:t>
      </w:r>
    </w:p>
    <w:p w14:paraId="38598D88" w14:textId="77777777" w:rsidR="00605C38" w:rsidRDefault="00605C38" w:rsidP="00605C38">
      <w:pPr>
        <w:ind w:left="720"/>
      </w:pPr>
      <w:r>
        <w:rPr>
          <w:rFonts w:ascii="Verdana" w:hAnsi="Verdana"/>
          <w:color w:val="000000"/>
          <w:sz w:val="15"/>
          <w:szCs w:val="15"/>
        </w:rPr>
        <w:t>35. Diuretic Therapy and the Pharmacotherapy of Renal Failure</w:t>
      </w:r>
    </w:p>
    <w:p w14:paraId="5E975CCB" w14:textId="77777777" w:rsidR="00605C38" w:rsidRDefault="00605C38" w:rsidP="00605C38">
      <w:pPr>
        <w:ind w:left="720"/>
      </w:pPr>
      <w:r>
        <w:rPr>
          <w:rFonts w:ascii="Verdana" w:hAnsi="Verdana"/>
          <w:color w:val="000000"/>
          <w:sz w:val="15"/>
          <w:szCs w:val="15"/>
        </w:rPr>
        <w:t>36. Pharmacotherapy of Fluid, Electrolyte, and Acid-Base Disorders</w:t>
      </w:r>
    </w:p>
    <w:p w14:paraId="6FCFAF09" w14:textId="77777777" w:rsidR="00605C38" w:rsidRDefault="00605C38" w:rsidP="00605C38">
      <w:pPr>
        <w:ind w:left="720"/>
      </w:pPr>
      <w:r>
        <w:rPr>
          <w:rFonts w:ascii="Verdana" w:hAnsi="Verdana"/>
          <w:color w:val="000000"/>
          <w:sz w:val="15"/>
          <w:szCs w:val="15"/>
        </w:rPr>
        <w:t>37. Pharmacotherapy of Hypertension</w:t>
      </w:r>
    </w:p>
    <w:p w14:paraId="0D7ADD91" w14:textId="77777777" w:rsidR="00605C38" w:rsidRDefault="00605C38" w:rsidP="00605C38">
      <w:pPr>
        <w:ind w:left="720"/>
      </w:pPr>
      <w:r>
        <w:rPr>
          <w:rFonts w:ascii="Verdana" w:hAnsi="Verdana"/>
          <w:color w:val="000000"/>
          <w:sz w:val="15"/>
          <w:szCs w:val="15"/>
        </w:rPr>
        <w:t>38. Pharmacotherapy of Angina Pectoris and Myocardial Infarction</w:t>
      </w:r>
    </w:p>
    <w:p w14:paraId="3D92A95D" w14:textId="77777777" w:rsidR="00605C38" w:rsidRDefault="00605C38" w:rsidP="00605C38">
      <w:pPr>
        <w:ind w:left="720"/>
      </w:pPr>
      <w:r>
        <w:rPr>
          <w:rFonts w:ascii="Verdana" w:hAnsi="Verdana"/>
          <w:color w:val="000000"/>
          <w:sz w:val="15"/>
          <w:szCs w:val="15"/>
        </w:rPr>
        <w:t>39. Pharmacotherapy of Heart Failure</w:t>
      </w:r>
    </w:p>
    <w:p w14:paraId="3E783CA3" w14:textId="77777777" w:rsidR="00605C38" w:rsidRDefault="00605C38" w:rsidP="00605C38">
      <w:pPr>
        <w:ind w:left="720"/>
      </w:pPr>
      <w:r>
        <w:rPr>
          <w:rFonts w:ascii="Verdana" w:hAnsi="Verdana"/>
          <w:color w:val="000000"/>
          <w:sz w:val="15"/>
          <w:szCs w:val="15"/>
        </w:rPr>
        <w:t>40. Pharmacotherapy of Dysrhythmias</w:t>
      </w:r>
    </w:p>
    <w:p w14:paraId="25BB099D" w14:textId="77777777" w:rsidR="00605C38" w:rsidRDefault="00605C38" w:rsidP="00605C38">
      <w:pPr>
        <w:ind w:left="720"/>
      </w:pPr>
      <w:r>
        <w:rPr>
          <w:rFonts w:ascii="Verdana" w:hAnsi="Verdana"/>
          <w:color w:val="000000"/>
          <w:sz w:val="15"/>
          <w:szCs w:val="15"/>
        </w:rPr>
        <w:t>41. Pharmacotherapy of Coagulation Disorders</w:t>
      </w:r>
    </w:p>
    <w:p w14:paraId="136CA20E" w14:textId="77777777" w:rsidR="00605C38" w:rsidRDefault="00605C38" w:rsidP="00605C38">
      <w:pPr>
        <w:ind w:left="720"/>
      </w:pPr>
      <w:r>
        <w:rPr>
          <w:rFonts w:ascii="Verdana" w:hAnsi="Verdana"/>
          <w:color w:val="000000"/>
          <w:sz w:val="15"/>
          <w:szCs w:val="15"/>
        </w:rPr>
        <w:t>42. Pharmacotherapy of Hematopoietic Disorders</w:t>
      </w:r>
    </w:p>
    <w:p w14:paraId="4991BAA4" w14:textId="77777777" w:rsidR="00605C38" w:rsidRDefault="00605C38" w:rsidP="00605C38">
      <w:r>
        <w:rPr>
          <w:rFonts w:ascii="Verdana" w:hAnsi="Verdana"/>
          <w:b/>
          <w:bCs/>
          <w:color w:val="000000"/>
          <w:sz w:val="15"/>
          <w:szCs w:val="15"/>
        </w:rPr>
        <w:t>10</w:t>
      </w:r>
      <w:r>
        <w:rPr>
          <w:rFonts w:ascii="Verdana" w:hAnsi="Verdana"/>
          <w:b/>
          <w:bCs/>
          <w:color w:val="000000"/>
          <w:sz w:val="15"/>
          <w:szCs w:val="15"/>
        </w:rPr>
        <w:tab/>
        <w:t>Unit 6. Pharmacology of Body Defenses</w:t>
      </w:r>
    </w:p>
    <w:p w14:paraId="76B21152" w14:textId="77777777" w:rsidR="00605C38" w:rsidRDefault="00605C38" w:rsidP="00605C38">
      <w:pPr>
        <w:ind w:left="720"/>
      </w:pPr>
      <w:r>
        <w:rPr>
          <w:rFonts w:ascii="Verdana" w:hAnsi="Verdana"/>
          <w:color w:val="000000"/>
          <w:sz w:val="15"/>
          <w:szCs w:val="15"/>
        </w:rPr>
        <w:t>43. Review of Body Defenses and the Immune System</w:t>
      </w:r>
    </w:p>
    <w:p w14:paraId="284F7EA3" w14:textId="77777777" w:rsidR="00605C38" w:rsidRDefault="00605C38" w:rsidP="00605C38">
      <w:pPr>
        <w:ind w:left="720"/>
      </w:pPr>
      <w:r>
        <w:rPr>
          <w:rFonts w:ascii="Verdana" w:hAnsi="Verdana"/>
          <w:color w:val="000000"/>
          <w:sz w:val="15"/>
          <w:szCs w:val="15"/>
        </w:rPr>
        <w:t>44. Pharmacotherapy of Inflammation and Fever</w:t>
      </w:r>
    </w:p>
    <w:p w14:paraId="0CB9F2D5" w14:textId="77777777" w:rsidR="00605C38" w:rsidRDefault="00605C38" w:rsidP="00605C38">
      <w:pPr>
        <w:ind w:left="720"/>
      </w:pPr>
      <w:r>
        <w:rPr>
          <w:rFonts w:ascii="Verdana" w:hAnsi="Verdana"/>
          <w:color w:val="000000"/>
          <w:sz w:val="15"/>
          <w:szCs w:val="15"/>
        </w:rPr>
        <w:t xml:space="preserve">45. </w:t>
      </w:r>
      <w:proofErr w:type="spellStart"/>
      <w:r>
        <w:rPr>
          <w:rFonts w:ascii="Verdana" w:hAnsi="Verdana"/>
          <w:color w:val="000000"/>
          <w:sz w:val="15"/>
          <w:szCs w:val="15"/>
        </w:rPr>
        <w:t>Immunostimulants</w:t>
      </w:r>
      <w:proofErr w:type="spellEnd"/>
      <w:r>
        <w:rPr>
          <w:rFonts w:ascii="Verdana" w:hAnsi="Verdana"/>
          <w:color w:val="000000"/>
          <w:sz w:val="15"/>
          <w:szCs w:val="15"/>
        </w:rPr>
        <w:t xml:space="preserve"> and </w:t>
      </w:r>
      <w:proofErr w:type="spellStart"/>
      <w:r>
        <w:rPr>
          <w:rFonts w:ascii="Verdana" w:hAnsi="Verdana"/>
          <w:color w:val="000000"/>
          <w:sz w:val="15"/>
          <w:szCs w:val="15"/>
        </w:rPr>
        <w:t>Immunosuppressants</w:t>
      </w:r>
      <w:proofErr w:type="spellEnd"/>
    </w:p>
    <w:p w14:paraId="54A59105" w14:textId="77777777" w:rsidR="00605C38" w:rsidRDefault="00605C38" w:rsidP="00605C38">
      <w:pPr>
        <w:ind w:left="720"/>
        <w:rPr>
          <w:rFonts w:ascii="Verdana" w:hAnsi="Verdana"/>
          <w:color w:val="000000"/>
          <w:sz w:val="15"/>
          <w:szCs w:val="15"/>
        </w:rPr>
      </w:pPr>
      <w:r>
        <w:rPr>
          <w:rFonts w:ascii="Verdana" w:hAnsi="Verdana"/>
          <w:color w:val="000000"/>
          <w:sz w:val="15"/>
          <w:szCs w:val="15"/>
        </w:rPr>
        <w:t>46. Immunizing Agents</w:t>
      </w:r>
    </w:p>
    <w:p w14:paraId="6EB95D22" w14:textId="77777777" w:rsidR="00605C38" w:rsidRDefault="00605C38" w:rsidP="00605C38">
      <w:pPr>
        <w:ind w:left="720"/>
      </w:pPr>
    </w:p>
    <w:p w14:paraId="5836C5E7" w14:textId="77777777" w:rsidR="00605C38" w:rsidRDefault="00605C38" w:rsidP="00605C38">
      <w:r w:rsidRPr="00470394">
        <w:rPr>
          <w:rFonts w:ascii="Verdana" w:hAnsi="Verdana"/>
          <w:b/>
          <w:sz w:val="16"/>
          <w:szCs w:val="16"/>
        </w:rPr>
        <w:t>1</w:t>
      </w:r>
      <w:r>
        <w:rPr>
          <w:rFonts w:ascii="Verdana" w:hAnsi="Verdana"/>
          <w:b/>
          <w:sz w:val="16"/>
          <w:szCs w:val="16"/>
        </w:rPr>
        <w:t>1</w:t>
      </w:r>
      <w:r>
        <w:rPr>
          <w:rFonts w:ascii="Verdana" w:hAnsi="Verdana"/>
          <w:b/>
          <w:sz w:val="16"/>
          <w:szCs w:val="16"/>
        </w:rPr>
        <w:tab/>
      </w:r>
      <w:r w:rsidRPr="00470394">
        <w:rPr>
          <w:rFonts w:ascii="Verdana" w:hAnsi="Verdana"/>
          <w:b/>
          <w:bCs/>
          <w:color w:val="000000"/>
          <w:sz w:val="15"/>
          <w:szCs w:val="15"/>
        </w:rPr>
        <w:t xml:space="preserve"> </w:t>
      </w:r>
      <w:r>
        <w:rPr>
          <w:rFonts w:ascii="Verdana" w:hAnsi="Verdana"/>
          <w:b/>
          <w:bCs/>
          <w:color w:val="000000"/>
          <w:sz w:val="15"/>
          <w:szCs w:val="15"/>
        </w:rPr>
        <w:t>Unit 7. Pharmacology of the Respiratory System and Allergy</w:t>
      </w:r>
    </w:p>
    <w:p w14:paraId="48532621" w14:textId="77777777" w:rsidR="00605C38" w:rsidRDefault="00605C38" w:rsidP="00605C38">
      <w:pPr>
        <w:ind w:left="720"/>
      </w:pPr>
      <w:r>
        <w:rPr>
          <w:rFonts w:ascii="Verdana" w:hAnsi="Verdana"/>
          <w:color w:val="000000"/>
          <w:sz w:val="15"/>
          <w:szCs w:val="15"/>
        </w:rPr>
        <w:t>47. Pharmacotherapy of Asthma and Other Pulmonary Disorders</w:t>
      </w:r>
    </w:p>
    <w:p w14:paraId="38EA9974" w14:textId="77777777" w:rsidR="00605C38" w:rsidRDefault="00605C38" w:rsidP="00605C38">
      <w:pPr>
        <w:ind w:left="720"/>
      </w:pPr>
      <w:r>
        <w:rPr>
          <w:rFonts w:ascii="Verdana" w:hAnsi="Verdana"/>
          <w:color w:val="000000"/>
          <w:sz w:val="15"/>
          <w:szCs w:val="15"/>
        </w:rPr>
        <w:t>48. Pharmacotherapy of Allergic Rhinitis and the Common Cold</w:t>
      </w:r>
    </w:p>
    <w:p w14:paraId="1B0DCC56" w14:textId="77777777" w:rsidR="00605C38" w:rsidRDefault="00605C38" w:rsidP="00605C38">
      <w:r>
        <w:rPr>
          <w:rFonts w:ascii="Verdana" w:hAnsi="Verdana"/>
          <w:b/>
          <w:bCs/>
          <w:color w:val="000000"/>
          <w:sz w:val="15"/>
          <w:szCs w:val="15"/>
        </w:rPr>
        <w:t xml:space="preserve">12 </w:t>
      </w:r>
      <w:r>
        <w:rPr>
          <w:rFonts w:ascii="Verdana" w:hAnsi="Verdana"/>
          <w:b/>
          <w:bCs/>
          <w:color w:val="000000"/>
          <w:sz w:val="15"/>
          <w:szCs w:val="15"/>
        </w:rPr>
        <w:tab/>
        <w:t>Unit 8. Pharmacology of Infectious and Neoplastic Disease</w:t>
      </w:r>
    </w:p>
    <w:p w14:paraId="7B64C6DF" w14:textId="77777777" w:rsidR="00605C38" w:rsidRDefault="00605C38" w:rsidP="00605C38">
      <w:pPr>
        <w:ind w:left="720"/>
      </w:pPr>
      <w:r>
        <w:rPr>
          <w:rFonts w:ascii="Verdana" w:hAnsi="Verdana"/>
          <w:color w:val="000000"/>
          <w:sz w:val="15"/>
          <w:szCs w:val="15"/>
        </w:rPr>
        <w:t>49. Basic Principles of Anti-Infective Pharmacotherapy</w:t>
      </w:r>
    </w:p>
    <w:p w14:paraId="642E4BBA" w14:textId="77777777" w:rsidR="00605C38" w:rsidRDefault="00605C38" w:rsidP="00605C38">
      <w:pPr>
        <w:ind w:left="720"/>
      </w:pPr>
      <w:r>
        <w:rPr>
          <w:rFonts w:ascii="Verdana" w:hAnsi="Verdana"/>
          <w:color w:val="000000"/>
          <w:sz w:val="15"/>
          <w:szCs w:val="15"/>
        </w:rPr>
        <w:t>50. Antibiotics Affecting the Bacterial Cell Wall</w:t>
      </w:r>
    </w:p>
    <w:p w14:paraId="5F1BFC01" w14:textId="77777777" w:rsidR="00605C38" w:rsidRDefault="00605C38" w:rsidP="00605C38">
      <w:pPr>
        <w:ind w:left="720"/>
      </w:pPr>
      <w:r>
        <w:rPr>
          <w:rFonts w:ascii="Verdana" w:hAnsi="Verdana"/>
          <w:color w:val="000000"/>
          <w:sz w:val="15"/>
          <w:szCs w:val="15"/>
        </w:rPr>
        <w:t>51. Antibiotics Affecting Bacterial Protein Synthesis</w:t>
      </w:r>
    </w:p>
    <w:p w14:paraId="4F9F9F9C" w14:textId="77777777" w:rsidR="00605C38" w:rsidRDefault="00605C38" w:rsidP="00605C38">
      <w:pPr>
        <w:ind w:left="720"/>
      </w:pPr>
      <w:r>
        <w:rPr>
          <w:rFonts w:ascii="Verdana" w:hAnsi="Verdana"/>
          <w:color w:val="000000"/>
          <w:sz w:val="15"/>
          <w:szCs w:val="15"/>
        </w:rPr>
        <w:t xml:space="preserve">52. Fluoroquinolones and Miscellaneous </w:t>
      </w:r>
      <w:proofErr w:type="spellStart"/>
      <w:r>
        <w:rPr>
          <w:rFonts w:ascii="Verdana" w:hAnsi="Verdana"/>
          <w:color w:val="000000"/>
          <w:sz w:val="15"/>
          <w:szCs w:val="15"/>
        </w:rPr>
        <w:t>Antibacterials</w:t>
      </w:r>
      <w:proofErr w:type="spellEnd"/>
    </w:p>
    <w:p w14:paraId="39BAF711" w14:textId="77777777" w:rsidR="00605C38" w:rsidRDefault="00605C38" w:rsidP="00605C38">
      <w:pPr>
        <w:ind w:left="720"/>
      </w:pPr>
      <w:r>
        <w:rPr>
          <w:rFonts w:ascii="Verdana" w:hAnsi="Verdana"/>
          <w:color w:val="000000"/>
          <w:sz w:val="15"/>
          <w:szCs w:val="15"/>
        </w:rPr>
        <w:lastRenderedPageBreak/>
        <w:t>53. Sulfonamides and the Pharmacotherapy of Urinary Tract Infections</w:t>
      </w:r>
    </w:p>
    <w:p w14:paraId="54A52762" w14:textId="77777777" w:rsidR="00605C38" w:rsidRDefault="00605C38" w:rsidP="00605C38">
      <w:pPr>
        <w:ind w:left="720"/>
      </w:pPr>
      <w:r>
        <w:rPr>
          <w:rFonts w:ascii="Verdana" w:hAnsi="Verdana"/>
          <w:color w:val="000000"/>
          <w:sz w:val="15"/>
          <w:szCs w:val="15"/>
        </w:rPr>
        <w:t>54. Pharmacotherapy of Mycobacterial Infections</w:t>
      </w:r>
    </w:p>
    <w:p w14:paraId="5EE4BD21" w14:textId="77777777" w:rsidR="00605C38" w:rsidRDefault="00605C38" w:rsidP="00605C38">
      <w:pPr>
        <w:ind w:left="720"/>
      </w:pPr>
      <w:r>
        <w:rPr>
          <w:rFonts w:ascii="Verdana" w:hAnsi="Verdana"/>
          <w:color w:val="000000"/>
          <w:sz w:val="15"/>
          <w:szCs w:val="15"/>
        </w:rPr>
        <w:t>55. Pharmacotherapy of Fungal Infections</w:t>
      </w:r>
    </w:p>
    <w:p w14:paraId="083895B9" w14:textId="77777777" w:rsidR="00605C38" w:rsidRDefault="00605C38" w:rsidP="00605C38">
      <w:pPr>
        <w:ind w:left="720"/>
      </w:pPr>
      <w:r>
        <w:rPr>
          <w:rFonts w:ascii="Verdana" w:hAnsi="Verdana"/>
          <w:color w:val="000000"/>
          <w:sz w:val="15"/>
          <w:szCs w:val="15"/>
        </w:rPr>
        <w:t>56. Pharmacotherapy of Protozoan and Helminthic Infections</w:t>
      </w:r>
    </w:p>
    <w:p w14:paraId="7DD4A1E9" w14:textId="77777777" w:rsidR="00605C38" w:rsidRDefault="00605C38" w:rsidP="00605C38">
      <w:pPr>
        <w:ind w:left="720"/>
      </w:pPr>
      <w:r>
        <w:rPr>
          <w:rFonts w:ascii="Verdana" w:hAnsi="Verdana"/>
          <w:color w:val="000000"/>
          <w:sz w:val="15"/>
          <w:szCs w:val="15"/>
        </w:rPr>
        <w:t>57. Pharmacotherapy of Non-HIV Viral Infections</w:t>
      </w:r>
    </w:p>
    <w:p w14:paraId="61546154" w14:textId="77777777" w:rsidR="00605C38" w:rsidRDefault="00605C38" w:rsidP="00605C38">
      <w:pPr>
        <w:ind w:left="720"/>
      </w:pPr>
      <w:r>
        <w:rPr>
          <w:rFonts w:ascii="Verdana" w:hAnsi="Verdana"/>
          <w:color w:val="000000"/>
          <w:sz w:val="15"/>
          <w:szCs w:val="15"/>
        </w:rPr>
        <w:t>58. Pharmacotherapy of HIV-AIDS</w:t>
      </w:r>
    </w:p>
    <w:p w14:paraId="7D26ACC0" w14:textId="77777777" w:rsidR="00605C38" w:rsidRDefault="00605C38" w:rsidP="00605C38">
      <w:pPr>
        <w:ind w:left="720"/>
      </w:pPr>
      <w:r>
        <w:rPr>
          <w:rFonts w:ascii="Verdana" w:hAnsi="Verdana"/>
          <w:color w:val="000000"/>
          <w:sz w:val="15"/>
          <w:szCs w:val="15"/>
        </w:rPr>
        <w:t>59. Basic Principles of Antineoplastic Therapy</w:t>
      </w:r>
    </w:p>
    <w:p w14:paraId="4FBE4EC4" w14:textId="77777777" w:rsidR="00605C38" w:rsidRDefault="00605C38" w:rsidP="00605C38">
      <w:pPr>
        <w:ind w:left="720"/>
      </w:pPr>
      <w:r>
        <w:rPr>
          <w:rFonts w:ascii="Verdana" w:hAnsi="Verdana"/>
          <w:color w:val="000000"/>
          <w:sz w:val="15"/>
          <w:szCs w:val="15"/>
        </w:rPr>
        <w:t>60. Pharmacotherapy of Neoplasia</w:t>
      </w:r>
    </w:p>
    <w:p w14:paraId="52E08959" w14:textId="77777777" w:rsidR="00605C38" w:rsidRDefault="00605C38" w:rsidP="00605C38">
      <w:r>
        <w:rPr>
          <w:rFonts w:ascii="Verdana" w:hAnsi="Verdana"/>
          <w:b/>
          <w:bCs/>
          <w:color w:val="000000"/>
          <w:sz w:val="15"/>
          <w:szCs w:val="15"/>
        </w:rPr>
        <w:t>13</w:t>
      </w:r>
      <w:r>
        <w:rPr>
          <w:rFonts w:ascii="Verdana" w:hAnsi="Verdana"/>
          <w:b/>
          <w:bCs/>
          <w:color w:val="000000"/>
          <w:sz w:val="15"/>
          <w:szCs w:val="15"/>
        </w:rPr>
        <w:tab/>
        <w:t>Unit 9. Pharmacology of the Gastrointestinal System</w:t>
      </w:r>
    </w:p>
    <w:p w14:paraId="0B01F480" w14:textId="77777777" w:rsidR="00605C38" w:rsidRDefault="00605C38" w:rsidP="00605C38">
      <w:pPr>
        <w:ind w:left="720"/>
      </w:pPr>
      <w:r>
        <w:rPr>
          <w:rFonts w:ascii="Verdana" w:hAnsi="Verdana"/>
          <w:color w:val="000000"/>
          <w:sz w:val="15"/>
          <w:szCs w:val="15"/>
        </w:rPr>
        <w:t>61. Review of the Gastrointestinal System</w:t>
      </w:r>
    </w:p>
    <w:p w14:paraId="650D8BD1" w14:textId="77777777" w:rsidR="00605C38" w:rsidRDefault="00605C38" w:rsidP="00605C38">
      <w:pPr>
        <w:ind w:left="720"/>
      </w:pPr>
      <w:r>
        <w:rPr>
          <w:rFonts w:ascii="Verdana" w:hAnsi="Verdana"/>
          <w:color w:val="000000"/>
          <w:sz w:val="15"/>
          <w:szCs w:val="15"/>
        </w:rPr>
        <w:t>62. Pharmacotherapy of Peptic Ulcer Disease</w:t>
      </w:r>
    </w:p>
    <w:p w14:paraId="53B9CF67" w14:textId="77777777" w:rsidR="00605C38" w:rsidRDefault="00605C38" w:rsidP="00605C38">
      <w:pPr>
        <w:ind w:left="720"/>
      </w:pPr>
      <w:r>
        <w:rPr>
          <w:rFonts w:ascii="Verdana" w:hAnsi="Verdana"/>
          <w:color w:val="000000"/>
          <w:sz w:val="15"/>
          <w:szCs w:val="15"/>
        </w:rPr>
        <w:t>63. Pharmacotherapy of Bowel Disorders and Other Gastrointestinal Conditions</w:t>
      </w:r>
    </w:p>
    <w:p w14:paraId="1A5693A3" w14:textId="77777777" w:rsidR="00605C38" w:rsidRDefault="00605C38" w:rsidP="00605C38">
      <w:pPr>
        <w:ind w:left="720"/>
      </w:pPr>
      <w:r>
        <w:rPr>
          <w:rFonts w:ascii="Verdana" w:hAnsi="Verdana"/>
          <w:color w:val="000000"/>
          <w:sz w:val="15"/>
          <w:szCs w:val="15"/>
        </w:rPr>
        <w:t>64. Vitamins and Minerals</w:t>
      </w:r>
    </w:p>
    <w:p w14:paraId="066A994D" w14:textId="77777777" w:rsidR="00605C38" w:rsidRDefault="00605C38" w:rsidP="00605C38">
      <w:pPr>
        <w:ind w:left="720"/>
      </w:pPr>
      <w:r>
        <w:rPr>
          <w:rFonts w:ascii="Verdana" w:hAnsi="Verdana"/>
          <w:color w:val="000000"/>
          <w:sz w:val="15"/>
          <w:szCs w:val="15"/>
        </w:rPr>
        <w:t>65. Enteral and Parenteral Nutrition</w:t>
      </w:r>
    </w:p>
    <w:p w14:paraId="4287E495" w14:textId="77777777" w:rsidR="00605C38" w:rsidRDefault="00605C38" w:rsidP="00605C38">
      <w:pPr>
        <w:ind w:left="720"/>
      </w:pPr>
      <w:r>
        <w:rPr>
          <w:rFonts w:ascii="Verdana" w:hAnsi="Verdana"/>
          <w:color w:val="000000"/>
          <w:sz w:val="15"/>
          <w:szCs w:val="15"/>
        </w:rPr>
        <w:t>66. Weight Reduction Strategies and the Pharmacotherapy of Obesity</w:t>
      </w:r>
    </w:p>
    <w:p w14:paraId="7258F826" w14:textId="77777777" w:rsidR="00605C38" w:rsidRDefault="00605C38" w:rsidP="00605C38">
      <w:r>
        <w:rPr>
          <w:rFonts w:ascii="Verdana" w:hAnsi="Verdana"/>
          <w:b/>
          <w:bCs/>
          <w:color w:val="000000"/>
          <w:sz w:val="15"/>
          <w:szCs w:val="15"/>
        </w:rPr>
        <w:t>14</w:t>
      </w:r>
      <w:r>
        <w:rPr>
          <w:rFonts w:ascii="Verdana" w:hAnsi="Verdana"/>
          <w:b/>
          <w:bCs/>
          <w:color w:val="000000"/>
          <w:sz w:val="15"/>
          <w:szCs w:val="15"/>
        </w:rPr>
        <w:tab/>
        <w:t>Unit 10. Pharmacology of the Endocrine System</w:t>
      </w:r>
    </w:p>
    <w:p w14:paraId="5A34C9B5" w14:textId="77777777" w:rsidR="00605C38" w:rsidRDefault="00605C38" w:rsidP="00605C38">
      <w:pPr>
        <w:ind w:left="720"/>
      </w:pPr>
      <w:r>
        <w:rPr>
          <w:rFonts w:ascii="Verdana" w:hAnsi="Verdana"/>
          <w:color w:val="000000"/>
          <w:sz w:val="15"/>
          <w:szCs w:val="15"/>
        </w:rPr>
        <w:t>67. Review of the Endocrine System</w:t>
      </w:r>
    </w:p>
    <w:p w14:paraId="362B00FE" w14:textId="77777777" w:rsidR="00605C38" w:rsidRDefault="00605C38" w:rsidP="00605C38">
      <w:pPr>
        <w:ind w:left="720"/>
      </w:pPr>
      <w:r>
        <w:rPr>
          <w:rFonts w:ascii="Verdana" w:hAnsi="Verdana"/>
          <w:color w:val="000000"/>
          <w:sz w:val="15"/>
          <w:szCs w:val="15"/>
        </w:rPr>
        <w:t>68. Hypothalamic and Pituitary Drugs</w:t>
      </w:r>
    </w:p>
    <w:p w14:paraId="2AD1DAC1" w14:textId="77777777" w:rsidR="00605C38" w:rsidRDefault="00605C38" w:rsidP="00605C38">
      <w:pPr>
        <w:ind w:left="720"/>
      </w:pPr>
      <w:r>
        <w:rPr>
          <w:rFonts w:ascii="Verdana" w:hAnsi="Verdana"/>
          <w:color w:val="000000"/>
          <w:sz w:val="15"/>
          <w:szCs w:val="15"/>
        </w:rPr>
        <w:t>69. Pharmacotherapy of Diabetes Mellitus</w:t>
      </w:r>
    </w:p>
    <w:p w14:paraId="4FC1E6B8" w14:textId="77777777" w:rsidR="00605C38" w:rsidRDefault="00605C38" w:rsidP="00605C38">
      <w:pPr>
        <w:ind w:left="720"/>
      </w:pPr>
      <w:r>
        <w:rPr>
          <w:rFonts w:ascii="Verdana" w:hAnsi="Verdana"/>
          <w:color w:val="000000"/>
          <w:sz w:val="15"/>
          <w:szCs w:val="15"/>
        </w:rPr>
        <w:t>70. Pharmacotherapy of Thyroid Disorders</w:t>
      </w:r>
    </w:p>
    <w:p w14:paraId="5CBCFB0E" w14:textId="77777777" w:rsidR="00605C38" w:rsidRDefault="00605C38" w:rsidP="00605C38">
      <w:pPr>
        <w:ind w:left="720"/>
      </w:pPr>
      <w:r>
        <w:rPr>
          <w:rFonts w:ascii="Verdana" w:hAnsi="Verdana"/>
          <w:color w:val="000000"/>
          <w:sz w:val="15"/>
          <w:szCs w:val="15"/>
        </w:rPr>
        <w:t>71. Corticosteroids and Drugs Affecting the Adrenal Cortex</w:t>
      </w:r>
    </w:p>
    <w:p w14:paraId="58F83C99" w14:textId="77777777" w:rsidR="00605C38" w:rsidRDefault="00605C38" w:rsidP="00605C38">
      <w:pPr>
        <w:ind w:left="720"/>
      </w:pPr>
      <w:r>
        <w:rPr>
          <w:rFonts w:ascii="Verdana" w:hAnsi="Verdana"/>
          <w:color w:val="000000"/>
          <w:sz w:val="15"/>
          <w:szCs w:val="15"/>
        </w:rPr>
        <w:t xml:space="preserve">72. Estrogens, </w:t>
      </w:r>
      <w:proofErr w:type="spellStart"/>
      <w:r>
        <w:rPr>
          <w:rFonts w:ascii="Verdana" w:hAnsi="Verdana"/>
          <w:color w:val="000000"/>
          <w:sz w:val="15"/>
          <w:szCs w:val="15"/>
        </w:rPr>
        <w:t>Progestins</w:t>
      </w:r>
      <w:proofErr w:type="spellEnd"/>
      <w:r>
        <w:rPr>
          <w:rFonts w:ascii="Verdana" w:hAnsi="Verdana"/>
          <w:color w:val="000000"/>
          <w:sz w:val="15"/>
          <w:szCs w:val="15"/>
        </w:rPr>
        <w:t>, and Drugs Modifying Uterine Function</w:t>
      </w:r>
    </w:p>
    <w:p w14:paraId="4639A4BB" w14:textId="77777777" w:rsidR="00605C38" w:rsidRDefault="00605C38" w:rsidP="00605C38">
      <w:pPr>
        <w:ind w:left="720"/>
      </w:pPr>
      <w:r>
        <w:rPr>
          <w:rFonts w:ascii="Verdana" w:hAnsi="Verdana"/>
          <w:color w:val="000000"/>
          <w:sz w:val="15"/>
          <w:szCs w:val="15"/>
        </w:rPr>
        <w:t>73. Drugs for Modifying Conception</w:t>
      </w:r>
    </w:p>
    <w:p w14:paraId="2C716A09" w14:textId="77777777" w:rsidR="00605C38" w:rsidRDefault="00605C38" w:rsidP="00605C38">
      <w:pPr>
        <w:ind w:left="720"/>
      </w:pPr>
      <w:r>
        <w:rPr>
          <w:rFonts w:ascii="Verdana" w:hAnsi="Verdana"/>
          <w:color w:val="000000"/>
          <w:sz w:val="15"/>
          <w:szCs w:val="15"/>
        </w:rPr>
        <w:t>74. Drugs for Disorders and Conditions of the Male Reproductive System</w:t>
      </w:r>
    </w:p>
    <w:p w14:paraId="15FD956B" w14:textId="77777777" w:rsidR="00605C38" w:rsidRDefault="00605C38" w:rsidP="00605C38">
      <w:r>
        <w:rPr>
          <w:rFonts w:ascii="Verdana" w:hAnsi="Verdana"/>
          <w:b/>
          <w:bCs/>
          <w:color w:val="000000"/>
          <w:sz w:val="15"/>
          <w:szCs w:val="15"/>
        </w:rPr>
        <w:t>15</w:t>
      </w:r>
      <w:r>
        <w:rPr>
          <w:rFonts w:ascii="Verdana" w:hAnsi="Verdana"/>
          <w:b/>
          <w:bCs/>
          <w:color w:val="000000"/>
          <w:sz w:val="15"/>
          <w:szCs w:val="15"/>
        </w:rPr>
        <w:tab/>
        <w:t>Unit 11. Additional Drug Classes</w:t>
      </w:r>
    </w:p>
    <w:p w14:paraId="3C59DB8D" w14:textId="77777777" w:rsidR="00605C38" w:rsidRDefault="00605C38" w:rsidP="00605C38">
      <w:pPr>
        <w:ind w:left="720"/>
      </w:pPr>
      <w:r>
        <w:rPr>
          <w:rFonts w:ascii="Verdana" w:hAnsi="Verdana"/>
          <w:color w:val="000000"/>
          <w:sz w:val="15"/>
          <w:szCs w:val="15"/>
        </w:rPr>
        <w:t>75. Pharmacotherapy of Bone and Joint Disorders</w:t>
      </w:r>
    </w:p>
    <w:p w14:paraId="5E48741B" w14:textId="77777777" w:rsidR="00605C38" w:rsidRDefault="00605C38" w:rsidP="00605C38">
      <w:pPr>
        <w:ind w:left="720"/>
      </w:pPr>
      <w:r>
        <w:rPr>
          <w:rFonts w:ascii="Verdana" w:hAnsi="Verdana"/>
          <w:color w:val="000000"/>
          <w:sz w:val="15"/>
          <w:szCs w:val="15"/>
        </w:rPr>
        <w:t>76. Pharmacotherapy of Dermatologic Disorders</w:t>
      </w:r>
    </w:p>
    <w:p w14:paraId="1C9B1F61" w14:textId="77777777" w:rsidR="00605C38" w:rsidRDefault="00605C38" w:rsidP="00605C38">
      <w:pPr>
        <w:ind w:left="720"/>
      </w:pPr>
      <w:r>
        <w:rPr>
          <w:rFonts w:ascii="Verdana" w:hAnsi="Verdana"/>
          <w:color w:val="000000"/>
          <w:sz w:val="15"/>
          <w:szCs w:val="15"/>
        </w:rPr>
        <w:t>77. Pharmacotherapy of Eye and Ear Disorders</w:t>
      </w:r>
    </w:p>
    <w:p w14:paraId="7D02F6A4" w14:textId="3B37D128" w:rsidR="00605C38" w:rsidRPr="00605C38" w:rsidRDefault="00605C38" w:rsidP="00605C38">
      <w:pPr>
        <w:ind w:left="720"/>
      </w:pPr>
      <w:r>
        <w:rPr>
          <w:rFonts w:ascii="Verdana" w:hAnsi="Verdana"/>
          <w:color w:val="000000"/>
          <w:sz w:val="15"/>
          <w:szCs w:val="15"/>
        </w:rPr>
        <w:t>78. Emergency Preparedness: Bioterrorism and Management of Poisoning</w:t>
      </w:r>
    </w:p>
    <w:p w14:paraId="75BCF23A" w14:textId="77777777" w:rsidR="00605C38" w:rsidRPr="00805A02" w:rsidRDefault="00605C38" w:rsidP="00605C38">
      <w:pPr>
        <w:rPr>
          <w:bCs/>
        </w:rPr>
      </w:pPr>
      <w:r w:rsidRPr="00805A02">
        <w:rPr>
          <w:bCs/>
        </w:rPr>
        <w:tab/>
      </w:r>
      <w:r w:rsidRPr="00805A02">
        <w:rPr>
          <w:bCs/>
        </w:rPr>
        <w:tab/>
      </w:r>
      <w:r w:rsidRPr="00805A02">
        <w:rPr>
          <w:bCs/>
        </w:rPr>
        <w:tab/>
      </w:r>
      <w:r w:rsidRPr="00805A02">
        <w:rPr>
          <w:bCs/>
        </w:rPr>
        <w:tab/>
      </w:r>
      <w:r w:rsidRPr="00805A02">
        <w:rPr>
          <w:bCs/>
        </w:rPr>
        <w:tab/>
      </w:r>
    </w:p>
    <w:p w14:paraId="085E18CB" w14:textId="6CA596A0" w:rsidR="00B30B98" w:rsidRDefault="00605C38" w:rsidP="00605C38">
      <w:pPr>
        <w:spacing w:line="240" w:lineRule="auto"/>
        <w:rPr>
          <w:b/>
          <w:bCs/>
        </w:rPr>
      </w:pPr>
      <w:r>
        <w:rPr>
          <w:b/>
          <w:bCs/>
        </w:rPr>
        <w:t>Final Exam</w:t>
      </w:r>
      <w:r>
        <w:rPr>
          <w:b/>
          <w:bCs/>
        </w:rPr>
        <w:tab/>
        <w:t xml:space="preserve">         TBA</w:t>
      </w:r>
    </w:p>
    <w:p w14:paraId="392C3C80" w14:textId="77777777" w:rsidR="00664C72" w:rsidRDefault="00664C72" w:rsidP="00605C38">
      <w:pPr>
        <w:spacing w:line="240" w:lineRule="auto"/>
        <w:rPr>
          <w:b/>
          <w:bCs/>
        </w:rPr>
      </w:pPr>
    </w:p>
    <w:p w14:paraId="07B7567D" w14:textId="77777777" w:rsidR="00664C72" w:rsidRPr="00C97B4E" w:rsidRDefault="00664C72" w:rsidP="00664C72">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1F7DA0E6" w14:textId="77777777" w:rsidR="00664C72" w:rsidRDefault="00664C72" w:rsidP="00664C72">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319266D4" w14:textId="77777777" w:rsidR="00664C72" w:rsidRPr="00C97B4E" w:rsidRDefault="00664C72" w:rsidP="00664C72">
      <w:pPr>
        <w:pStyle w:val="NormalWeb"/>
        <w:spacing w:before="0" w:beforeAutospacing="0" w:after="0" w:afterAutospacing="0"/>
        <w:ind w:right="180"/>
        <w:textAlignment w:val="baseline"/>
        <w:rPr>
          <w:color w:val="000000"/>
          <w:sz w:val="22"/>
          <w:szCs w:val="22"/>
        </w:rPr>
      </w:pPr>
    </w:p>
    <w:p w14:paraId="587FB399" w14:textId="77777777" w:rsidR="00664C72" w:rsidRPr="00C97B4E" w:rsidRDefault="00664C72" w:rsidP="00664C72">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proofErr w:type="spellStart"/>
      <w:r w:rsidRPr="00C97B4E">
        <w:rPr>
          <w:i/>
          <w:iCs/>
          <w:color w:val="000000"/>
          <w:sz w:val="22"/>
          <w:szCs w:val="22"/>
        </w:rPr>
        <w:t>Ohana</w:t>
      </w:r>
      <w:proofErr w:type="spellEnd"/>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3619D398" w14:textId="77777777" w:rsidR="00664C72" w:rsidRPr="00C97B4E" w:rsidRDefault="00664C72" w:rsidP="00664C72">
      <w:pPr>
        <w:pStyle w:val="NormalWeb"/>
        <w:numPr>
          <w:ilvl w:val="0"/>
          <w:numId w:val="9"/>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17D72DFC" w14:textId="77777777" w:rsidR="00664C72" w:rsidRDefault="00664C72" w:rsidP="00664C72">
      <w:pPr>
        <w:pStyle w:val="NormalWeb"/>
        <w:numPr>
          <w:ilvl w:val="0"/>
          <w:numId w:val="9"/>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350BE621" w14:textId="77777777" w:rsidR="00664C72" w:rsidRPr="00C97B4E" w:rsidRDefault="00664C72" w:rsidP="00664C72">
      <w:pPr>
        <w:pStyle w:val="NormalWeb"/>
        <w:spacing w:before="0" w:beforeAutospacing="0" w:after="0" w:afterAutospacing="0"/>
        <w:ind w:left="720" w:right="180"/>
        <w:textAlignment w:val="baseline"/>
        <w:rPr>
          <w:color w:val="000000"/>
          <w:sz w:val="22"/>
          <w:szCs w:val="22"/>
        </w:rPr>
      </w:pPr>
    </w:p>
    <w:p w14:paraId="248841B4" w14:textId="77777777" w:rsidR="00664C72" w:rsidRPr="00C97B4E" w:rsidRDefault="00664C72" w:rsidP="00664C72">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C97B4E">
        <w:rPr>
          <w:rFonts w:ascii="Times New Roman" w:hAnsi="Times New Roman" w:cs="Times New Roman"/>
          <w:szCs w:val="22"/>
        </w:rPr>
        <w:t>Hawai‘</w:t>
      </w:r>
      <w:proofErr w:type="gramEnd"/>
      <w:r w:rsidRPr="00C97B4E">
        <w:rPr>
          <w:rFonts w:ascii="Times New Roman" w:hAnsi="Times New Roman" w:cs="Times New Roman"/>
          <w:szCs w:val="22"/>
        </w:rPr>
        <w:t xml:space="preserve">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 xml:space="preserve">mana, </w:t>
      </w:r>
      <w:proofErr w:type="spellStart"/>
      <w:r w:rsidRPr="00C97B4E">
        <w:rPr>
          <w:rFonts w:ascii="Times New Roman" w:hAnsi="Times New Roman" w:cs="Times New Roman"/>
          <w:i/>
          <w:iCs/>
          <w:szCs w:val="22"/>
        </w:rPr>
        <w:t>na’auao</w:t>
      </w:r>
      <w:proofErr w:type="spellEnd"/>
      <w:r w:rsidRPr="00C97B4E">
        <w:rPr>
          <w:rFonts w:ascii="Times New Roman" w:hAnsi="Times New Roman" w:cs="Times New Roman"/>
          <w:i/>
          <w:iCs/>
          <w:szCs w:val="22"/>
        </w:rPr>
        <w:t xml:space="preserve">, </w:t>
      </w:r>
      <w:proofErr w:type="spellStart"/>
      <w:r w:rsidRPr="00C97B4E">
        <w:rPr>
          <w:rFonts w:ascii="Times New Roman" w:hAnsi="Times New Roman" w:cs="Times New Roman"/>
          <w:i/>
          <w:iCs/>
          <w:szCs w:val="22"/>
        </w:rPr>
        <w:t>ohana</w:t>
      </w:r>
      <w:proofErr w:type="spellEnd"/>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proofErr w:type="spellStart"/>
      <w:r w:rsidRPr="00C97B4E">
        <w:rPr>
          <w:rFonts w:ascii="Times New Roman" w:hAnsi="Times New Roman" w:cs="Times New Roman"/>
          <w:i/>
          <w:iCs/>
          <w:szCs w:val="22"/>
        </w:rPr>
        <w:t>aina</w:t>
      </w:r>
      <w:proofErr w:type="spellEnd"/>
      <w:r w:rsidRPr="00C97B4E">
        <w:rPr>
          <w:rFonts w:ascii="Times New Roman" w:hAnsi="Times New Roman" w:cs="Times New Roman"/>
          <w:szCs w:val="22"/>
        </w:rPr>
        <w:t xml:space="preserve">. We intend for our Natural Sciences programs to be culturally-sustaining, rooted in our Hawaiian place, and centered on core values of </w:t>
      </w:r>
      <w:proofErr w:type="spellStart"/>
      <w:r w:rsidRPr="00C97B4E">
        <w:rPr>
          <w:rFonts w:ascii="Times New Roman" w:hAnsi="Times New Roman" w:cs="Times New Roman"/>
          <w:i/>
          <w:color w:val="000000" w:themeColor="text1"/>
        </w:rPr>
        <w:t>Maiau</w:t>
      </w:r>
      <w:proofErr w:type="spellEnd"/>
      <w:r w:rsidRPr="00C97B4E">
        <w:rPr>
          <w:rFonts w:ascii="Times New Roman" w:hAnsi="Times New Roman" w:cs="Times New Roman"/>
          <w:i/>
          <w:color w:val="000000" w:themeColor="text1"/>
        </w:rPr>
        <w:t>,</w:t>
      </w:r>
      <w:r w:rsidRPr="00C97B4E">
        <w:rPr>
          <w:rFonts w:ascii="Times New Roman" w:hAnsi="Times New Roman" w:cs="Times New Roman"/>
          <w:color w:val="000000" w:themeColor="text1"/>
        </w:rPr>
        <w:t xml:space="preserve"> be neat, prepared, careful in all we do; </w:t>
      </w:r>
      <w:proofErr w:type="spellStart"/>
      <w:r w:rsidRPr="00C97B4E">
        <w:rPr>
          <w:rFonts w:ascii="Times New Roman" w:hAnsi="Times New Roman" w:cs="Times New Roman"/>
          <w:i/>
          <w:color w:val="000000" w:themeColor="text1"/>
        </w:rPr>
        <w:t>Makawalu</w:t>
      </w:r>
      <w:proofErr w:type="spellEnd"/>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proofErr w:type="spellStart"/>
      <w:r w:rsidRPr="00C97B4E">
        <w:rPr>
          <w:rFonts w:ascii="Times New Roman" w:hAnsi="Times New Roman" w:cs="Times New Roman"/>
          <w:i/>
        </w:rPr>
        <w:t>Pa`a</w:t>
      </w:r>
      <w:proofErr w:type="spellEnd"/>
      <w:r w:rsidRPr="00C97B4E">
        <w:rPr>
          <w:rFonts w:ascii="Times New Roman" w:hAnsi="Times New Roman" w:cs="Times New Roman"/>
          <w:i/>
        </w:rPr>
        <w:t xml:space="preserve"> </w:t>
      </w:r>
      <w:proofErr w:type="spellStart"/>
      <w:r w:rsidRPr="00C97B4E">
        <w:rPr>
          <w:rFonts w:ascii="Times New Roman" w:hAnsi="Times New Roman" w:cs="Times New Roman"/>
          <w:i/>
        </w:rPr>
        <w:t>Na`au</w:t>
      </w:r>
      <w:proofErr w:type="spellEnd"/>
      <w:r w:rsidRPr="00C97B4E">
        <w:rPr>
          <w:rFonts w:ascii="Times New Roman" w:hAnsi="Times New Roman" w:cs="Times New Roman"/>
        </w:rPr>
        <w:t>, learn deeply.</w:t>
      </w:r>
    </w:p>
    <w:p w14:paraId="1A4D5555" w14:textId="77777777" w:rsidR="00664C72" w:rsidRPr="00C97B4E" w:rsidRDefault="00664C72" w:rsidP="00664C72">
      <w:pPr>
        <w:pStyle w:val="Heading3"/>
        <w:rPr>
          <w:rFonts w:ascii="Times New Roman" w:hAnsi="Times New Roman" w:cs="Times New Roman"/>
          <w:sz w:val="22"/>
          <w:szCs w:val="22"/>
        </w:rPr>
      </w:pPr>
      <w:r w:rsidRPr="00CD6C7B">
        <w:rPr>
          <w:rFonts w:ascii="Times New Roman" w:hAnsi="Times New Roman" w:cs="Times New Roman"/>
          <w:sz w:val="22"/>
          <w:szCs w:val="22"/>
        </w:rPr>
        <w:lastRenderedPageBreak/>
        <w:t>13.1. Late Work Policy</w:t>
      </w:r>
      <w:r w:rsidRPr="00C97B4E">
        <w:rPr>
          <w:rFonts w:ascii="Times New Roman" w:hAnsi="Times New Roman" w:cs="Times New Roman"/>
          <w:sz w:val="22"/>
          <w:szCs w:val="22"/>
        </w:rPr>
        <w:t xml:space="preserve"> </w:t>
      </w:r>
    </w:p>
    <w:p w14:paraId="23CF6789" w14:textId="77777777" w:rsidR="00664C72" w:rsidRPr="00C97B4E" w:rsidRDefault="00664C72" w:rsidP="00664C72">
      <w:pPr>
        <w:spacing w:line="240" w:lineRule="auto"/>
        <w:rPr>
          <w:rFonts w:ascii="Times New Roman" w:eastAsia="Calibri" w:hAnsi="Times New Roman" w:cs="Times New Roman"/>
        </w:rPr>
      </w:pPr>
      <w:bookmarkStart w:id="14" w:name="_jjxmwypv5g8j" w:colFirst="0" w:colLast="0"/>
      <w:bookmarkEnd w:id="14"/>
      <w:r>
        <w:rPr>
          <w:rFonts w:ascii="Times New Roman" w:eastAsia="Calibri" w:hAnsi="Times New Roman" w:cs="Times New Roman"/>
        </w:rPr>
        <w:t>All overdue assignment not completed or anticipated to be late must have approval from the instructor along with a valid excuse.</w:t>
      </w:r>
    </w:p>
    <w:p w14:paraId="66C3BB73" w14:textId="77777777" w:rsidR="00664C72" w:rsidRPr="00C97B4E" w:rsidRDefault="00664C72" w:rsidP="00664C72">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7DFB0BF5" w14:textId="77777777" w:rsidR="00664C72" w:rsidRPr="00C97B4E" w:rsidRDefault="00664C72" w:rsidP="00664C72">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2306A666" w14:textId="77777777" w:rsidR="00664C72" w:rsidRPr="006353FD" w:rsidRDefault="00664C72" w:rsidP="00664C72">
      <w:pPr>
        <w:pStyle w:val="Heading3"/>
        <w:rPr>
          <w:rFonts w:ascii="Times New Roman" w:hAnsi="Times New Roman" w:cs="Times New Roman"/>
          <w:sz w:val="22"/>
          <w:szCs w:val="22"/>
        </w:rPr>
      </w:pPr>
      <w:bookmarkStart w:id="15" w:name="_9n6t8ejicnxr" w:colFirst="0" w:colLast="0"/>
      <w:bookmarkEnd w:id="15"/>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512A5C36" w14:textId="77777777" w:rsidR="00664C72" w:rsidRPr="00C97B4E" w:rsidRDefault="00664C72" w:rsidP="00664C72">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Pr="006353FD">
        <w:rPr>
          <w:rFonts w:ascii="Times New Roman" w:eastAsia="Calibri" w:hAnsi="Times New Roman" w:cs="Times New Roman"/>
          <w:b/>
          <w:bCs/>
        </w:rPr>
        <w:br/>
      </w:r>
      <w:r w:rsidRPr="00C97B4E">
        <w:rPr>
          <w:rFonts w:ascii="Times New Roman" w:eastAsia="Calibri" w:hAnsi="Times New Roman" w:cs="Times New Roman"/>
        </w:rPr>
        <w:br/>
      </w: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.4. Instructor and Student Communication</w:t>
      </w:r>
      <w:r w:rsidRPr="00C97B4E">
        <w:rPr>
          <w:rFonts w:ascii="Times New Roman" w:eastAsia="Calibri" w:hAnsi="Times New Roman" w:cs="Times New Roman"/>
          <w:b/>
        </w:rPr>
        <w:t xml:space="preserve"> </w:t>
      </w:r>
      <w:r w:rsidRPr="00C97B4E">
        <w:rPr>
          <w:rFonts w:ascii="Times New Roman" w:eastAsia="Calibri" w:hAnsi="Times New Roman" w:cs="Times New Roman"/>
        </w:rPr>
        <w:br/>
        <w:t xml:space="preserve">Questions for this course can be emailed to the instructor at </w:t>
      </w:r>
      <w:hyperlink r:id="rId19" w:history="1">
        <w:r w:rsidRPr="00C97B4E">
          <w:rPr>
            <w:rStyle w:val="Hyperlink"/>
            <w:rFonts w:ascii="Times New Roman" w:eastAsia="Calibri" w:hAnsi="Times New Roman" w:cs="Times New Roman"/>
          </w:rPr>
          <w:t>jkawakam@chaminade.edu</w:t>
        </w:r>
      </w:hyperlink>
      <w:r>
        <w:rPr>
          <w:rStyle w:val="Hyperlink"/>
          <w:rFonts w:ascii="Times New Roman" w:eastAsia="Calibri" w:hAnsi="Times New Roman" w:cs="Times New Roman"/>
        </w:rPr>
        <w:t xml:space="preserve">. </w:t>
      </w:r>
      <w:r w:rsidRPr="00C97B4E">
        <w:rPr>
          <w:rFonts w:ascii="Times New Roman" w:eastAsia="Calibri" w:hAnsi="Times New Roman" w:cs="Times New Roman"/>
        </w:rPr>
        <w:t xml:space="preserve">Online, in-person and phone conferences can be arranged. Response time will take place </w:t>
      </w:r>
      <w:r w:rsidRPr="0016063A">
        <w:rPr>
          <w:rFonts w:ascii="Times New Roman" w:eastAsia="Calibri" w:hAnsi="Times New Roman" w:cs="Times New Roman"/>
        </w:rPr>
        <w:t>up to [1-12 hours].</w:t>
      </w:r>
      <w:r w:rsidRPr="00C97B4E">
        <w:rPr>
          <w:rFonts w:ascii="Times New Roman" w:eastAsia="Calibri" w:hAnsi="Times New Roman" w:cs="Times New Roman"/>
        </w:rPr>
        <w:br/>
      </w:r>
    </w:p>
    <w:p w14:paraId="6120768E" w14:textId="77777777" w:rsidR="00664C72" w:rsidRPr="00C97B4E" w:rsidRDefault="00664C72" w:rsidP="00664C72">
      <w:pPr>
        <w:spacing w:line="240" w:lineRule="auto"/>
        <w:rPr>
          <w:rFonts w:ascii="Times New Roman" w:eastAsia="Calibri" w:hAnsi="Times New Roman" w:cs="Times New Roman"/>
        </w:rPr>
      </w:pPr>
      <w:r w:rsidRPr="0016063A">
        <w:rPr>
          <w:rFonts w:ascii="Times New Roman" w:eastAsia="Calibri" w:hAnsi="Times New Roman" w:cs="Times New Roman"/>
          <w:b/>
          <w:bCs/>
        </w:rPr>
        <w:t xml:space="preserve">13.5. </w:t>
      </w:r>
      <w:r w:rsidRPr="0016063A">
        <w:rPr>
          <w:rFonts w:ascii="Times New Roman" w:eastAsia="Calibri" w:hAnsi="Times New Roman" w:cs="Times New Roman"/>
          <w:b/>
          <w:bCs/>
          <w:color w:val="434343"/>
        </w:rPr>
        <w:t>Cell phones, tablets, and laptops</w:t>
      </w:r>
      <w:r w:rsidRPr="00C97B4E">
        <w:rPr>
          <w:rFonts w:ascii="Times New Roman" w:eastAsia="Calibri" w:hAnsi="Times New Roman" w:cs="Times New Roman"/>
          <w:b/>
          <w:bCs/>
        </w:rPr>
        <w:br/>
      </w:r>
      <w:r w:rsidRPr="00C97B4E">
        <w:rPr>
          <w:rFonts w:ascii="Times New Roman" w:hAnsi="Times New Roman" w:cs="Times New Roman"/>
          <w:i/>
          <w:color w:val="000000"/>
        </w:rPr>
        <w:t>Music Devices and Cellular Phones:</w:t>
      </w:r>
      <w:r w:rsidRPr="00C97B4E">
        <w:rPr>
          <w:rFonts w:ascii="Times New Roman" w:hAnsi="Times New Roman" w:cs="Times New Roman"/>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357117DA" w14:textId="77777777" w:rsidR="00664C72" w:rsidRPr="00C97B4E" w:rsidRDefault="00664C72" w:rsidP="00664C72">
      <w:pPr>
        <w:spacing w:line="240" w:lineRule="auto"/>
        <w:rPr>
          <w:rFonts w:ascii="Times New Roman" w:eastAsia="Calibri" w:hAnsi="Times New Roman" w:cs="Times New Roman"/>
        </w:rPr>
      </w:pPr>
    </w:p>
    <w:p w14:paraId="4EACE01C" w14:textId="77777777" w:rsidR="00664C72" w:rsidRPr="00C97B4E" w:rsidRDefault="00664C72" w:rsidP="00664C72">
      <w:pPr>
        <w:spacing w:line="240" w:lineRule="auto"/>
        <w:rPr>
          <w:rFonts w:ascii="Times New Roman" w:eastAsia="Calibri" w:hAnsi="Times New Roman" w:cs="Times New Roman"/>
        </w:rPr>
      </w:pPr>
      <w:r w:rsidRPr="0016063A">
        <w:rPr>
          <w:rFonts w:ascii="Times New Roman" w:eastAsia="Calibri" w:hAnsi="Times New Roman"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591E6AD0" w14:textId="77777777" w:rsidR="00664C72" w:rsidRPr="005A64C4" w:rsidRDefault="00664C72" w:rsidP="00664C72">
      <w:pPr>
        <w:pStyle w:val="Heading2"/>
        <w:keepLines w:val="0"/>
        <w:spacing w:before="240" w:after="60"/>
        <w:rPr>
          <w:rFonts w:ascii="Times New Roman" w:eastAsia="Calibri" w:hAnsi="Times New Roman" w:cs="Times New Roman"/>
          <w:b/>
          <w:color w:val="434343"/>
          <w:sz w:val="22"/>
          <w:szCs w:val="22"/>
        </w:rPr>
      </w:pPr>
      <w:bookmarkStart w:id="16" w:name="_m58nglkroe1n" w:colFirst="0" w:colLast="0"/>
      <w:bookmarkEnd w:id="16"/>
      <w:r w:rsidRPr="005A64C4">
        <w:rPr>
          <w:rFonts w:ascii="Times New Roman" w:eastAsia="Calibri" w:hAnsi="Times New Roman" w:cs="Times New Roman"/>
          <w:b/>
          <w:color w:val="434343"/>
          <w:sz w:val="22"/>
          <w:szCs w:val="22"/>
        </w:rPr>
        <w:t>1</w:t>
      </w:r>
      <w:r>
        <w:rPr>
          <w:rFonts w:ascii="Times New Roman" w:eastAsia="Calibri" w:hAnsi="Times New Roman" w:cs="Times New Roman"/>
          <w:b/>
          <w:color w:val="434343"/>
          <w:sz w:val="22"/>
          <w:szCs w:val="22"/>
        </w:rPr>
        <w:t>3</w:t>
      </w:r>
      <w:r w:rsidRPr="005A64C4">
        <w:rPr>
          <w:rFonts w:ascii="Times New Roman" w:eastAsia="Calibri" w:hAnsi="Times New Roman" w:cs="Times New Roman"/>
          <w:b/>
          <w:color w:val="434343"/>
          <w:sz w:val="22"/>
          <w:szCs w:val="22"/>
        </w:rPr>
        <w:t>.6. Disability Access</w:t>
      </w:r>
    </w:p>
    <w:p w14:paraId="7EF482D4" w14:textId="77777777" w:rsidR="00664C72" w:rsidRPr="005A64C4" w:rsidRDefault="00664C72" w:rsidP="00664C72">
      <w:pPr>
        <w:shd w:val="clear" w:color="auto" w:fill="FFFFFF"/>
        <w:rPr>
          <w:rFonts w:ascii="Times New Roman" w:hAnsi="Times New Roman" w:cs="Times New Roman"/>
          <w:color w:val="222222"/>
        </w:rPr>
      </w:pPr>
      <w:r w:rsidRPr="005A64C4">
        <w:rPr>
          <w:rFonts w:ascii="Times New Roman" w:hAnsi="Times New Roman" w:cs="Times New Roman"/>
          <w:color w:val="2222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5A64C4">
        <w:rPr>
          <w:rFonts w:ascii="Times New Roman" w:hAnsi="Times New Roman" w:cs="Times New Roman"/>
          <w:color w:val="000000" w:themeColor="text1"/>
        </w:rPr>
        <w:t>(</w:t>
      </w:r>
      <w:hyperlink r:id="rId20" w:tgtFrame="_blank" w:history="1">
        <w:r w:rsidRPr="005A64C4">
          <w:rPr>
            <w:rStyle w:val="Hyperlink"/>
            <w:rFonts w:ascii="Times New Roman" w:hAnsi="Times New Roman" w:cs="Times New Roman"/>
            <w:color w:val="000000" w:themeColor="text1"/>
          </w:rPr>
          <w:t>counselingcenter@chaminade.edu</w:t>
        </w:r>
      </w:hyperlink>
      <w:r w:rsidRPr="005A64C4">
        <w:rPr>
          <w:rFonts w:ascii="Times New Roman" w:hAnsi="Times New Roman" w:cs="Times New Roman"/>
          <w:color w:val="000000" w:themeColor="text1"/>
        </w:rPr>
        <w:t>).</w:t>
      </w:r>
    </w:p>
    <w:p w14:paraId="054BF3FC" w14:textId="77777777" w:rsidR="00664C72" w:rsidRPr="00C97B4E" w:rsidRDefault="00664C72" w:rsidP="00664C72">
      <w:pPr>
        <w:pStyle w:val="Heading2"/>
        <w:keepLines w:val="0"/>
        <w:spacing w:before="240" w:after="60"/>
        <w:rPr>
          <w:rFonts w:ascii="Times New Roman" w:hAnsi="Times New Roman" w:cs="Times New Roman"/>
          <w:sz w:val="22"/>
          <w:szCs w:val="22"/>
        </w:rPr>
      </w:pPr>
      <w:bookmarkStart w:id="17" w:name="_l4p9bh6ymaps" w:colFirst="0" w:colLast="0"/>
      <w:bookmarkEnd w:id="17"/>
      <w:r w:rsidRPr="00C97B4E">
        <w:rPr>
          <w:rFonts w:ascii="Times New Roman" w:eastAsia="Calibri" w:hAnsi="Times New Roman" w:cs="Times New Roman"/>
          <w:b/>
          <w:color w:val="434343"/>
          <w:sz w:val="22"/>
          <w:szCs w:val="22"/>
        </w:rPr>
        <w:t>1</w:t>
      </w:r>
      <w:r>
        <w:rPr>
          <w:rFonts w:ascii="Times New Roman" w:eastAsia="Calibri" w:hAnsi="Times New Roman" w:cs="Times New Roman"/>
          <w:b/>
          <w:color w:val="434343"/>
          <w:sz w:val="22"/>
          <w:szCs w:val="22"/>
        </w:rPr>
        <w:t>3</w:t>
      </w:r>
      <w:r w:rsidRPr="00C97B4E">
        <w:rPr>
          <w:rFonts w:ascii="Times New Roman" w:eastAsia="Calibri" w:hAnsi="Times New Roman" w:cs="Times New Roman"/>
          <w:b/>
          <w:color w:val="434343"/>
          <w:sz w:val="22"/>
          <w:szCs w:val="22"/>
        </w:rPr>
        <w:t>.7. Title IX Compliance</w:t>
      </w:r>
    </w:p>
    <w:p w14:paraId="4DDBAC7D" w14:textId="77777777" w:rsidR="00664C72" w:rsidRPr="00C97B4E" w:rsidRDefault="00664C72" w:rsidP="00664C72">
      <w:pPr>
        <w:widowControl w:val="0"/>
        <w:spacing w:line="240" w:lineRule="auto"/>
        <w:ind w:right="340"/>
        <w:rPr>
          <w:rFonts w:ascii="Times New Roman" w:eastAsia="Calibri" w:hAnsi="Times New Roman" w:cs="Times New Roman"/>
          <w:color w:val="1A1A1A"/>
        </w:rPr>
      </w:pPr>
      <w:proofErr w:type="spellStart"/>
      <w:r w:rsidRPr="00C97B4E">
        <w:rPr>
          <w:rFonts w:ascii="Times New Roman" w:eastAsia="Calibri" w:hAnsi="Times New Roman" w:cs="Times New Roman"/>
          <w:color w:val="1A1A1A"/>
        </w:rPr>
        <w:t>Chaminade</w:t>
      </w:r>
      <w:proofErr w:type="spellEnd"/>
      <w:r w:rsidRPr="00C97B4E">
        <w:rPr>
          <w:rFonts w:ascii="Times New Roman" w:eastAsia="Calibri" w:hAnsi="Times New Roman" w:cs="Times New Roman"/>
          <w:color w:val="1A1A1A"/>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F751C1C" w14:textId="77777777" w:rsidR="00664C72" w:rsidRPr="00C97B4E" w:rsidRDefault="00664C72" w:rsidP="00664C72">
      <w:pPr>
        <w:spacing w:line="240" w:lineRule="auto"/>
        <w:rPr>
          <w:rFonts w:ascii="Times New Roman" w:eastAsia="Calibri" w:hAnsi="Times New Roman" w:cs="Times New Roman"/>
        </w:rPr>
      </w:pPr>
    </w:p>
    <w:p w14:paraId="4AC4632B" w14:textId="77777777" w:rsidR="00664C72" w:rsidRPr="00C97B4E" w:rsidRDefault="00664C72" w:rsidP="00664C72">
      <w:pPr>
        <w:spacing w:line="240" w:lineRule="auto"/>
        <w:rPr>
          <w:rFonts w:ascii="Times New Roman" w:eastAsia="Calibri" w:hAnsi="Times New Roman" w:cs="Times New Roman"/>
        </w:rPr>
      </w:pP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.8. Attendance Policy</w:t>
      </w:r>
      <w:r w:rsidRPr="00C97B4E">
        <w:rPr>
          <w:rFonts w:ascii="Times New Roman" w:eastAsia="Calibri" w:hAnsi="Times New Roman" w:cs="Times New Roman"/>
        </w:rPr>
        <w:t xml:space="preserve"> </w:t>
      </w:r>
    </w:p>
    <w:p w14:paraId="6B1D5258" w14:textId="77777777" w:rsidR="00664C72" w:rsidRPr="00C97B4E" w:rsidRDefault="00664C72" w:rsidP="00664C72">
      <w:pPr>
        <w:spacing w:line="240" w:lineRule="auto"/>
        <w:rPr>
          <w:rFonts w:ascii="Times New Roman" w:eastAsia="Calibri" w:hAnsi="Times New Roman" w:cs="Times New Roman"/>
        </w:rPr>
      </w:pPr>
    </w:p>
    <w:p w14:paraId="5EECDF1F" w14:textId="77777777" w:rsidR="00664C72" w:rsidRPr="00C97B4E" w:rsidRDefault="00664C72" w:rsidP="00664C72">
      <w:pPr>
        <w:spacing w:line="240" w:lineRule="auto"/>
        <w:rPr>
          <w:rFonts w:ascii="Times New Roman" w:eastAsia="Calibri" w:hAnsi="Times New Roman" w:cs="Times New Roman"/>
        </w:rPr>
      </w:pPr>
      <w:r w:rsidRPr="00C97B4E">
        <w:rPr>
          <w:rFonts w:ascii="Times New Roman" w:eastAsia="Calibri" w:hAnsi="Times New Roman" w:cs="Times New Roman"/>
        </w:rPr>
        <w:t xml:space="preserve">The following attendance policy is from the 2018-2019 Academic Catalog (p. 57-58): Students are expected to attend regularly all courses for which they are registered. Student should notify their instructors when illness or </w:t>
      </w:r>
      <w:r w:rsidRPr="00C97B4E">
        <w:rPr>
          <w:rFonts w:ascii="Times New Roman" w:eastAsia="Calibri" w:hAnsi="Times New Roman" w:cs="Times New Roman"/>
        </w:rPr>
        <w:lastRenderedPageBreak/>
        <w:t xml:space="preserve">other extenuating circumstances prevents them from attending class and make arrangements to complete missed assignments. Notification may be done by emailing the instructor’s </w:t>
      </w:r>
      <w:proofErr w:type="spellStart"/>
      <w:r w:rsidRPr="00C97B4E">
        <w:rPr>
          <w:rFonts w:ascii="Times New Roman" w:eastAsia="Calibri" w:hAnsi="Times New Roman" w:cs="Times New Roman"/>
        </w:rPr>
        <w:t>Chaminade</w:t>
      </w:r>
      <w:proofErr w:type="spellEnd"/>
      <w:r w:rsidRPr="00C97B4E">
        <w:rPr>
          <w:rFonts w:ascii="Times New Roman" w:eastAsia="Calibri" w:hAnsi="Times New Roman" w:cs="Times New Roman"/>
        </w:rPr>
        <w:t xml:space="preserv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w:t>
      </w:r>
      <w:proofErr w:type="spellStart"/>
      <w:r w:rsidRPr="00C97B4E">
        <w:rPr>
          <w:rFonts w:ascii="Times New Roman" w:eastAsia="Calibri" w:hAnsi="Times New Roman" w:cs="Times New Roman"/>
        </w:rPr>
        <w:t>Chaminade</w:t>
      </w:r>
      <w:proofErr w:type="spellEnd"/>
      <w:r w:rsidRPr="00C97B4E">
        <w:rPr>
          <w:rFonts w:ascii="Times New Roman" w:eastAsia="Calibri" w:hAnsi="Times New Roman" w:cs="Times New Roman"/>
        </w:rPr>
        <w:t xml:space="preserv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40388A7E" w14:textId="77777777" w:rsidR="00664C72" w:rsidRPr="00C97B4E" w:rsidRDefault="00664C72" w:rsidP="00664C72">
      <w:pPr>
        <w:spacing w:line="240" w:lineRule="auto"/>
        <w:rPr>
          <w:rFonts w:ascii="Times New Roman" w:eastAsia="Calibri" w:hAnsi="Times New Roman" w:cs="Times New Roman"/>
        </w:rPr>
      </w:pPr>
    </w:p>
    <w:p w14:paraId="5425E2A2" w14:textId="77777777" w:rsidR="00664C72" w:rsidRPr="00C97B4E" w:rsidRDefault="00664C72" w:rsidP="00664C72">
      <w:pPr>
        <w:spacing w:after="120" w:line="240" w:lineRule="auto"/>
        <w:rPr>
          <w:rFonts w:ascii="Times New Roman" w:eastAsia="Calibri" w:hAnsi="Times New Roman" w:cs="Times New Roman"/>
          <w:b/>
        </w:rPr>
      </w:pP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.9. Academic Conduct Policy</w:t>
      </w:r>
    </w:p>
    <w:p w14:paraId="4C74390B" w14:textId="77777777" w:rsidR="00664C72" w:rsidRPr="00C97B4E" w:rsidRDefault="00664C72" w:rsidP="00664C72">
      <w:pPr>
        <w:spacing w:line="240" w:lineRule="auto"/>
        <w:rPr>
          <w:rFonts w:ascii="Times New Roman" w:eastAsia="Calibri" w:hAnsi="Times New Roman" w:cs="Times New Roman"/>
        </w:rPr>
      </w:pPr>
      <w:r w:rsidRPr="00C97B4E">
        <w:rPr>
          <w:rFonts w:ascii="Times New Roman" w:eastAsia="Calibri" w:hAnsi="Times New Roman" w:cs="Times New Roman"/>
        </w:rPr>
        <w:t xml:space="preserve">From the 2018-2019 Undergraduate Academic Catalog (p. 42):  </w:t>
      </w:r>
    </w:p>
    <w:p w14:paraId="21BD2CD2" w14:textId="77777777" w:rsidR="00664C72" w:rsidRPr="00C97B4E" w:rsidRDefault="00664C72" w:rsidP="00664C72">
      <w:pPr>
        <w:spacing w:line="240" w:lineRule="auto"/>
        <w:rPr>
          <w:rFonts w:ascii="Times New Roman" w:eastAsia="Calibri" w:hAnsi="Times New Roman" w:cs="Times New Roman"/>
        </w:rPr>
      </w:pPr>
      <w:r w:rsidRPr="00C97B4E">
        <w:rPr>
          <w:rFonts w:ascii="Times New Roman" w:eastAsia="Calibri" w:hAnsi="Times New Roman" w:cs="Times New Roman"/>
        </w:rPr>
        <w:t xml:space="preserve">Any community must have a set of rules and standards of conduct by which it operates. At </w:t>
      </w:r>
      <w:proofErr w:type="spellStart"/>
      <w:r w:rsidRPr="00C97B4E">
        <w:rPr>
          <w:rFonts w:ascii="Times New Roman" w:eastAsia="Calibri" w:hAnsi="Times New Roman" w:cs="Times New Roman"/>
        </w:rPr>
        <w:t>Chaminade</w:t>
      </w:r>
      <w:proofErr w:type="spellEnd"/>
      <w:r w:rsidRPr="00C97B4E">
        <w:rPr>
          <w:rFonts w:ascii="Times New Roman" w:eastAsia="Calibri" w:hAnsi="Times New Roman" w:cs="Times New Roman"/>
        </w:rPr>
        <w:t xml:space="preserv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C97B4E">
        <w:rPr>
          <w:rFonts w:ascii="Times New Roman" w:eastAsia="Calibri" w:hAnsi="Times New Roman" w:cs="Times New Roman"/>
        </w:rPr>
        <w:t>Chaminade</w:t>
      </w:r>
      <w:proofErr w:type="spellEnd"/>
      <w:r w:rsidRPr="00C97B4E">
        <w:rPr>
          <w:rFonts w:ascii="Times New Roman" w:eastAsia="Calibri" w:hAnsi="Times New Roman" w:cs="Times New Roman"/>
        </w:rPr>
        <w:t xml:space="preserve"> website. For further information, please refer to the Student Handbook: </w:t>
      </w:r>
      <w:hyperlink r:id="rId21">
        <w:r w:rsidRPr="00C97B4E">
          <w:rPr>
            <w:rFonts w:ascii="Times New Roman" w:eastAsia="Calibri" w:hAnsi="Times New Roman" w:cs="Times New Roman"/>
            <w:color w:val="1155CC"/>
            <w:u w:val="single"/>
          </w:rPr>
          <w:t>https://studentaffairs.chaminade.edu/wp-content/uploads/sites/28/2018-19-NEW-STUDENT-HANDBOOK.pdf</w:t>
        </w:r>
      </w:hyperlink>
      <w:bookmarkStart w:id="18" w:name="_1da90cgnpluf" w:colFirst="0" w:colLast="0"/>
      <w:bookmarkEnd w:id="18"/>
    </w:p>
    <w:p w14:paraId="716D3540" w14:textId="77777777" w:rsidR="00664C72" w:rsidRDefault="00664C72" w:rsidP="00664C72">
      <w:pPr>
        <w:spacing w:line="240" w:lineRule="auto"/>
        <w:rPr>
          <w:rFonts w:ascii="Calibri" w:eastAsia="Calibri" w:hAnsi="Calibri" w:cs="Calibri"/>
        </w:rPr>
      </w:pPr>
      <w:r w:rsidRPr="00C97B4E">
        <w:rPr>
          <w:rFonts w:ascii="Times New Roman" w:hAnsi="Times New Roman" w:cs="Times New Roman"/>
        </w:rPr>
        <w:t xml:space="preserve"> </w:t>
      </w:r>
    </w:p>
    <w:p w14:paraId="05A0C49A" w14:textId="77777777" w:rsidR="00664C72" w:rsidRDefault="00664C72" w:rsidP="00664C72">
      <w:pPr>
        <w:rPr>
          <w:rFonts w:ascii="Times New Roman" w:hAnsi="Times New Roman" w:cs="Times New Roman"/>
          <w:b/>
          <w:bCs/>
        </w:rPr>
      </w:pPr>
    </w:p>
    <w:p w14:paraId="7119D96E" w14:textId="77777777" w:rsidR="00664C72" w:rsidRDefault="00664C72" w:rsidP="00605C38">
      <w:pPr>
        <w:spacing w:line="240" w:lineRule="auto"/>
        <w:rPr>
          <w:rFonts w:ascii="Calibri" w:eastAsia="Calibri" w:hAnsi="Calibri" w:cs="Calibri"/>
        </w:rPr>
      </w:pPr>
    </w:p>
    <w:sectPr w:rsidR="00664C72">
      <w:headerReference w:type="even" r:id="rId22"/>
      <w:headerReference w:type="default" r:id="rId23"/>
      <w:footerReference w:type="even" r:id="rId24"/>
      <w:footerReference w:type="default" r:id="rId25"/>
      <w:headerReference w:type="first" r:id="rId26"/>
      <w:footerReference w:type="first" r:id="rId2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19DF6" w14:textId="77777777" w:rsidR="003812D3" w:rsidRDefault="003812D3" w:rsidP="00EB3A24">
      <w:pPr>
        <w:spacing w:line="240" w:lineRule="auto"/>
      </w:pPr>
      <w:r>
        <w:separator/>
      </w:r>
    </w:p>
  </w:endnote>
  <w:endnote w:type="continuationSeparator" w:id="0">
    <w:p w14:paraId="121ACEE3" w14:textId="77777777" w:rsidR="003812D3" w:rsidRDefault="003812D3"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8EA7D" w14:textId="77777777" w:rsidR="00EB3A24" w:rsidRDefault="00EB3A2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F6F6F" w14:textId="77777777" w:rsidR="00EB3A24" w:rsidRDefault="00EB3A2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208C9" w14:textId="77777777" w:rsidR="00EB3A24" w:rsidRDefault="00EB3A2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56D875" w14:textId="77777777" w:rsidR="003812D3" w:rsidRDefault="003812D3" w:rsidP="00EB3A24">
      <w:pPr>
        <w:spacing w:line="240" w:lineRule="auto"/>
      </w:pPr>
      <w:r>
        <w:separator/>
      </w:r>
    </w:p>
  </w:footnote>
  <w:footnote w:type="continuationSeparator" w:id="0">
    <w:p w14:paraId="5208BDA8" w14:textId="77777777" w:rsidR="003812D3" w:rsidRDefault="003812D3" w:rsidP="00EB3A2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B5AE3" w14:textId="77777777" w:rsidR="00EB3A24" w:rsidRDefault="00EB3A2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973B1" w14:textId="77777777" w:rsidR="00EB3A24" w:rsidRDefault="00EB3A2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D2DAD" w14:textId="77777777" w:rsidR="00EB3A24" w:rsidRDefault="00EB3A2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93B105E"/>
    <w:multiLevelType w:val="hybridMultilevel"/>
    <w:tmpl w:val="2F46D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CB20F2"/>
    <w:multiLevelType w:val="hybridMultilevel"/>
    <w:tmpl w:val="2222F144"/>
    <w:lvl w:ilvl="0" w:tplc="A776FB28">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6"/>
  </w:num>
  <w:num w:numId="5">
    <w:abstractNumId w:val="0"/>
  </w:num>
  <w:num w:numId="6">
    <w:abstractNumId w:val="8"/>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26857"/>
    <w:rsid w:val="00095FAE"/>
    <w:rsid w:val="003812D3"/>
    <w:rsid w:val="003824EF"/>
    <w:rsid w:val="00444D62"/>
    <w:rsid w:val="00450B3C"/>
    <w:rsid w:val="00486DD4"/>
    <w:rsid w:val="004B3B2B"/>
    <w:rsid w:val="005C3C00"/>
    <w:rsid w:val="005E247B"/>
    <w:rsid w:val="00605C38"/>
    <w:rsid w:val="00647573"/>
    <w:rsid w:val="00664C72"/>
    <w:rsid w:val="00667EFF"/>
    <w:rsid w:val="0067630A"/>
    <w:rsid w:val="006E2AB7"/>
    <w:rsid w:val="00814964"/>
    <w:rsid w:val="0087190A"/>
    <w:rsid w:val="00890DCC"/>
    <w:rsid w:val="008A3D90"/>
    <w:rsid w:val="00980CBD"/>
    <w:rsid w:val="00B244B9"/>
    <w:rsid w:val="00B30B98"/>
    <w:rsid w:val="00B60A1F"/>
    <w:rsid w:val="00B65C3F"/>
    <w:rsid w:val="00CB4591"/>
    <w:rsid w:val="00DC4819"/>
    <w:rsid w:val="00E109A8"/>
    <w:rsid w:val="00EB3A24"/>
    <w:rsid w:val="00F53D2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ListParagraph">
    <w:name w:val="List Paragraph"/>
    <w:basedOn w:val="Normal"/>
    <w:uiPriority w:val="34"/>
    <w:qFormat/>
    <w:rsid w:val="00B65C3F"/>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B65C3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rsid w:val="00664C72"/>
    <w:rPr>
      <w:color w:val="000000"/>
      <w:szCs w:val="24"/>
      <w:lang w:val="en-US"/>
    </w:rPr>
  </w:style>
  <w:style w:type="character" w:customStyle="1" w:styleId="Heading2Char">
    <w:name w:val="Heading 2 Char"/>
    <w:basedOn w:val="DefaultParagraphFont"/>
    <w:link w:val="Heading2"/>
    <w:rsid w:val="00664C72"/>
    <w:rPr>
      <w:sz w:val="32"/>
      <w:szCs w:val="32"/>
    </w:rPr>
  </w:style>
  <w:style w:type="character" w:customStyle="1" w:styleId="Heading3Char">
    <w:name w:val="Heading 3 Char"/>
    <w:basedOn w:val="DefaultParagraphFont"/>
    <w:link w:val="Heading3"/>
    <w:rsid w:val="00664C72"/>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yperlink" Target="mailto:counselingcenter@chaminade.edu" TargetMode="External"/><Relationship Id="rId21" Type="http://schemas.openxmlformats.org/officeDocument/2006/relationships/hyperlink" Target="https://studentaffairs.chaminade.edu/wp-content/uploads/sites/28/2018-19-NEW-STUDENT-HANDBOOK.pdf" TargetMode="External"/><Relationship Id="rId22" Type="http://schemas.openxmlformats.org/officeDocument/2006/relationships/header" Target="header1.xml"/><Relationship Id="rId23" Type="http://schemas.openxmlformats.org/officeDocument/2006/relationships/header" Target="header2.xm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header" Target="header3.xml"/><Relationship Id="rId27" Type="http://schemas.openxmlformats.org/officeDocument/2006/relationships/footer" Target="footer3.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yperlink" Target="http://www.chaminade.edu" TargetMode="External"/><Relationship Id="rId12" Type="http://schemas.openxmlformats.org/officeDocument/2006/relationships/hyperlink" Target="http://www.chaminade.edu" TargetMode="External"/><Relationship Id="rId13" Type="http://schemas.openxmlformats.org/officeDocument/2006/relationships/hyperlink" Target="mailto:jkawakam@chaminade.edu" TargetMode="External"/><Relationship Id="rId14" Type="http://schemas.openxmlformats.org/officeDocument/2006/relationships/hyperlink" Target="https://chaminade.instructure.com/courses/10086" TargetMode="External"/><Relationship Id="rId15" Type="http://schemas.openxmlformats.org/officeDocument/2006/relationships/hyperlink" Target="http://help.instructure.com/" TargetMode="External"/><Relationship Id="rId16" Type="http://schemas.openxmlformats.org/officeDocument/2006/relationships/hyperlink" Target="https://secure.livechatinc.com/licence/2695732/open_chat.cgi?groups=46" TargetMode="External"/><Relationship Id="rId17" Type="http://schemas.openxmlformats.org/officeDocument/2006/relationships/hyperlink" Target="https://vimeo.com/72777900" TargetMode="External"/><Relationship Id="rId18" Type="http://schemas.openxmlformats.org/officeDocument/2006/relationships/hyperlink" Target="mailto:helpdesk@chaminade.edu" TargetMode="External"/><Relationship Id="rId19" Type="http://schemas.openxmlformats.org/officeDocument/2006/relationships/hyperlink" Target="mailto:jkawakam@chaminade.edu"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2994</Words>
  <Characters>17072</Characters>
  <Application>Microsoft Macintosh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10</cp:revision>
  <dcterms:created xsi:type="dcterms:W3CDTF">2019-07-03T21:27:00Z</dcterms:created>
  <dcterms:modified xsi:type="dcterms:W3CDTF">2019-08-16T20:14:00Z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