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header1.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pPr>
      <w:r>
        <w:rPr/>
      </w:r>
    </w:p>
    <w:tbl>
      <w:tblPr>
        <w:jc w:val="left"/>
        <w:tblInd w:type="dxa" w:w="-108"/>
        <w:tblBorders>
          <w:top w:color="00000A" w:space="0" w:sz="4" w:val="single"/>
          <w:left w:color="00000A" w:space="0" w:sz="4" w:val="single"/>
          <w:bottom w:color="00000A" w:space="0" w:sz="4" w:val="single"/>
          <w:right w:color="00000A" w:space="0" w:sz="4" w:val="single"/>
        </w:tblBorders>
      </w:tblPr>
      <w:tblGrid>
        <w:gridCol w:w="2268"/>
        <w:gridCol w:w="4764"/>
      </w:tblGrid>
      <w:tr>
        <w:trPr>
          <w:trHeight w:hRule="atLeast" w:val="1187"/>
          <w:cantSplit w:val="false"/>
        </w:trPr>
        <w:tc>
          <w:tcPr>
            <w:tcW w:type="dxa" w:w="2268"/>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b/>
                <w:color w:val="000080"/>
                <w:sz w:val="24"/>
                <w:szCs w:val="24"/>
              </w:rPr>
            </w:r>
          </w:p>
          <w:p>
            <w:pPr>
              <w:pStyle w:val="style0"/>
            </w:pPr>
            <w:r>
              <w:rPr>
                <w:b/>
                <w:color w:val="000080"/>
                <w:sz w:val="24"/>
                <w:szCs w:val="24"/>
              </w:rPr>
            </w:r>
          </w:p>
          <w:p>
            <w:pPr>
              <w:pStyle w:val="style0"/>
              <w:widowControl/>
              <w:spacing w:after="200" w:before="0" w:line="276" w:lineRule="auto"/>
            </w:pPr>
            <w:r>
              <w:rPr>
                <w:b/>
                <w:color w:val="000080"/>
                <w:sz w:val="24"/>
                <w:szCs w:val="24"/>
              </w:rPr>
              <w:t>INSTRUCTOR</w:t>
            </w:r>
            <w:r>
              <w:rPr>
                <w:color w:val="000080"/>
                <w:sz w:val="24"/>
                <w:szCs w:val="24"/>
              </w:rPr>
              <w:t>:</w:t>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2"/>
              <w:numPr>
                <w:ilvl w:val="1"/>
                <w:numId w:val="1"/>
              </w:numPr>
            </w:pPr>
            <w:r>
              <w:rPr>
                <w:szCs w:val="24"/>
              </w:rPr>
            </w:r>
          </w:p>
          <w:p>
            <w:pPr>
              <w:pStyle w:val="style2"/>
              <w:numPr>
                <w:ilvl w:val="1"/>
                <w:numId w:val="1"/>
              </w:numPr>
            </w:pPr>
            <w:r>
              <w:rPr>
                <w:szCs w:val="24"/>
              </w:rPr>
              <w:t>Dr. Bryan Moseley PhD.</w:t>
            </w:r>
          </w:p>
          <w:p>
            <w:pPr>
              <w:pStyle w:val="style2"/>
              <w:numPr>
                <w:ilvl w:val="1"/>
                <w:numId w:val="1"/>
              </w:numPr>
            </w:pPr>
            <w:r>
              <w:rPr>
                <w:szCs w:val="24"/>
              </w:rPr>
              <w:t>bryan.moseley@chaminade.edu</w:t>
            </w:r>
          </w:p>
          <w:p>
            <w:pPr>
              <w:pStyle w:val="style2"/>
              <w:numPr>
                <w:ilvl w:val="1"/>
                <w:numId w:val="1"/>
              </w:numPr>
            </w:pPr>
            <w:r>
              <w:rPr>
                <w:szCs w:val="24"/>
              </w:rPr>
              <w:t>808.739.8549</w:t>
            </w:r>
          </w:p>
          <w:p>
            <w:pPr>
              <w:pStyle w:val="style2"/>
              <w:numPr>
                <w:ilvl w:val="1"/>
                <w:numId w:val="1"/>
              </w:numPr>
              <w:spacing w:after="200" w:before="0"/>
            </w:pPr>
            <w:r>
              <w:rPr>
                <w:szCs w:val="24"/>
              </w:rPr>
            </w:r>
          </w:p>
        </w:tc>
      </w:tr>
      <w:tr>
        <w:trPr>
          <w:trHeight w:hRule="atLeast" w:val="350"/>
          <w:cantSplit w:val="false"/>
        </w:trPr>
        <w:tc>
          <w:tcPr>
            <w:tcW w:type="dxa" w:w="2268"/>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b/>
                <w:color w:val="000080"/>
                <w:sz w:val="24"/>
                <w:szCs w:val="24"/>
              </w:rPr>
              <w:t>OFFICE HOURS:</w:t>
            </w:r>
            <w:r>
              <w:rPr>
                <w:color w:val="000080"/>
                <w:sz w:val="24"/>
                <w:szCs w:val="24"/>
              </w:rPr>
              <w:t xml:space="preserve"> </w:t>
            </w:r>
          </w:p>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2"/>
              <w:numPr>
                <w:ilvl w:val="1"/>
                <w:numId w:val="1"/>
              </w:numPr>
            </w:pPr>
            <w:r>
              <w:rPr>
                <w:szCs w:val="24"/>
              </w:rPr>
              <w:t>Brogan Hall Room #117</w:t>
            </w:r>
          </w:p>
          <w:p>
            <w:pPr>
              <w:pStyle w:val="style0"/>
            </w:pPr>
            <w:r>
              <w:rPr>
                <w:sz w:val="24"/>
                <w:szCs w:val="24"/>
              </w:rPr>
              <w:t xml:space="preserve">Tuesday &amp; Thursday 2:00-5:00 or by appointment. </w:t>
            </w:r>
          </w:p>
          <w:p>
            <w:pPr>
              <w:pStyle w:val="style0"/>
              <w:spacing w:after="200" w:before="0"/>
            </w:pPr>
            <w:r>
              <w:rPr>
                <w:sz w:val="24"/>
                <w:szCs w:val="24"/>
              </w:rPr>
            </w:r>
          </w:p>
        </w:tc>
      </w:tr>
      <w:tr>
        <w:trPr>
          <w:trHeight w:hRule="atLeast" w:val="53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TIME and LOCATION</w:t>
            </w:r>
            <w:r>
              <w:rPr>
                <w:color w:val="000080"/>
                <w:sz w:val="24"/>
                <w:szCs w:val="24"/>
              </w:rPr>
              <w:t>:</w:t>
              <w:tab/>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sz w:val="24"/>
                <w:szCs w:val="24"/>
              </w:rPr>
              <w:t>Online Asynchronous</w:t>
            </w:r>
          </w:p>
          <w:p>
            <w:pPr>
              <w:pStyle w:val="style0"/>
              <w:widowControl/>
              <w:spacing w:after="200" w:before="0" w:line="276" w:lineRule="auto"/>
            </w:pPr>
            <w:r>
              <w:rPr>
                <w:sz w:val="24"/>
                <w:szCs w:val="24"/>
              </w:rPr>
              <w:t xml:space="preserve">Virtual class time on Sunday 3-6pm. </w:t>
            </w:r>
          </w:p>
        </w:tc>
      </w:tr>
      <w:tr>
        <w:trPr>
          <w:trHeight w:hRule="atLeast" w:val="53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CREDIT HRS</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widowControl/>
              <w:spacing w:after="200" w:before="0" w:line="276" w:lineRule="auto"/>
            </w:pPr>
            <w:r>
              <w:rPr>
                <w:sz w:val="24"/>
                <w:szCs w:val="24"/>
              </w:rPr>
              <w:t>3</w:t>
            </w:r>
          </w:p>
        </w:tc>
      </w:tr>
      <w:tr>
        <w:trPr>
          <w:trHeight w:hRule="atLeast" w:val="53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PROGRAM</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widowControl/>
              <w:spacing w:after="200" w:before="0" w:line="276" w:lineRule="auto"/>
            </w:pPr>
            <w:r>
              <w:rPr>
                <w:sz w:val="24"/>
                <w:szCs w:val="24"/>
              </w:rPr>
              <w:t>MA in Teaching</w:t>
            </w:r>
          </w:p>
        </w:tc>
      </w:tr>
      <w:tr>
        <w:trPr>
          <w:trHeight w:hRule="atLeast" w:val="69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REQUIRED MATERIALS:</w:t>
            </w:r>
            <w:r>
              <w:rPr>
                <w:color w:val="000080"/>
                <w:sz w:val="24"/>
                <w:szCs w:val="24"/>
              </w:rPr>
              <w:t xml:space="preserve">  </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ind w:hanging="720" w:left="720" w:right="0"/>
            </w:pPr>
            <w:r>
              <w:rPr>
                <w:sz w:val="24"/>
                <w:szCs w:val="24"/>
              </w:rPr>
              <w:t xml:space="preserve">Van De Walle, J. A. Karp, K. S., &amp; Bay-Williams, J. M. (2012). </w:t>
            </w:r>
            <w:r>
              <w:rPr>
                <w:i/>
                <w:iCs/>
                <w:sz w:val="24"/>
                <w:szCs w:val="24"/>
              </w:rPr>
              <w:t xml:space="preserve">Elementary and Middle School Mathematics (8th Edition). </w:t>
            </w:r>
            <w:r>
              <w:rPr>
                <w:sz w:val="24"/>
                <w:szCs w:val="24"/>
              </w:rPr>
              <w:t>Boston: Pearson Education, Inc. ISBN 9780205483921.</w:t>
            </w:r>
          </w:p>
          <w:p>
            <w:pPr>
              <w:pStyle w:val="style0"/>
              <w:ind w:hanging="720" w:left="720" w:right="0"/>
            </w:pPr>
            <w:r>
              <w:rPr>
                <w:sz w:val="24"/>
                <w:szCs w:val="24"/>
              </w:rPr>
              <w:t> </w:t>
            </w:r>
          </w:p>
          <w:p>
            <w:pPr>
              <w:pStyle w:val="style0"/>
              <w:ind w:hanging="720" w:left="720" w:right="0"/>
            </w:pPr>
            <w:r>
              <w:rPr>
                <w:sz w:val="24"/>
                <w:szCs w:val="24"/>
              </w:rPr>
              <w:t xml:space="preserve">Philipp, R, &amp; Cabral (2005). IMAP: Illustrating mathematics and pedagogy to  </w:t>
            </w:r>
          </w:p>
          <w:p>
            <w:pPr>
              <w:pStyle w:val="style0"/>
              <w:ind w:hanging="720" w:left="720" w:right="0"/>
            </w:pPr>
            <w:r>
              <w:rPr>
                <w:sz w:val="24"/>
                <w:szCs w:val="24"/>
              </w:rPr>
              <w:t xml:space="preserve">           </w:t>
            </w:r>
            <w:r>
              <w:rPr>
                <w:sz w:val="24"/>
                <w:szCs w:val="24"/>
              </w:rPr>
              <w:t>illustrate children’s reasoning. Boston: Pearson Education, Inc.</w:t>
            </w:r>
          </w:p>
          <w:p>
            <w:pPr>
              <w:pStyle w:val="style0"/>
              <w:ind w:hanging="720" w:left="720" w:right="0"/>
            </w:pPr>
            <w:r>
              <w:rPr>
                <w:sz w:val="24"/>
                <w:szCs w:val="24"/>
              </w:rPr>
              <w:t xml:space="preserve">            </w:t>
            </w:r>
            <w:r>
              <w:rPr>
                <w:sz w:val="24"/>
                <w:szCs w:val="24"/>
              </w:rPr>
              <w:t>ISBN 0-13-119854-8</w:t>
            </w:r>
          </w:p>
          <w:p>
            <w:pPr>
              <w:pStyle w:val="style0"/>
              <w:ind w:hanging="720" w:left="720" w:right="0"/>
            </w:pPr>
            <w:r>
              <w:rPr>
                <w:sz w:val="24"/>
                <w:szCs w:val="24"/>
              </w:rPr>
              <w:t> </w:t>
            </w:r>
          </w:p>
          <w:p>
            <w:pPr>
              <w:pStyle w:val="style0"/>
            </w:pPr>
            <w:r>
              <w:rPr>
                <w:sz w:val="24"/>
                <w:szCs w:val="24"/>
              </w:rPr>
              <w:t xml:space="preserve">A Livetext account is required for this course. If you do not have one it can be obtained from the Chaminade University bookstore. </w:t>
            </w:r>
          </w:p>
          <w:p>
            <w:pPr>
              <w:pStyle w:val="style0"/>
            </w:pPr>
            <w:r>
              <w:rPr>
                <w:sz w:val="24"/>
                <w:szCs w:val="24"/>
              </w:rPr>
            </w:r>
          </w:p>
          <w:p>
            <w:pPr>
              <w:pStyle w:val="style0"/>
              <w:widowControl/>
              <w:spacing w:after="200" w:before="0" w:line="276" w:lineRule="auto"/>
            </w:pPr>
            <w:r>
              <w:rPr>
                <w:sz w:val="24"/>
                <w:szCs w:val="24"/>
              </w:rPr>
              <w:t xml:space="preserve">Students are required to submit assignments using Microsoft office, the free libre office alternative which is available from </w:t>
            </w:r>
            <w:hyperlink r:id="rId2">
              <w:r>
                <w:rPr>
                  <w:rStyle w:val="style16"/>
                  <w:sz w:val="24"/>
                  <w:szCs w:val="24"/>
                </w:rPr>
                <w:t>www.libreoffice.org</w:t>
              </w:r>
            </w:hyperlink>
            <w:r>
              <w:rPr>
                <w:sz w:val="24"/>
                <w:szCs w:val="24"/>
              </w:rPr>
              <w:t xml:space="preserve">.  or in PDF format.  If formatting for assignments is jumbled, students may be required to submit work in PDF format to clarify their work. </w:t>
            </w:r>
          </w:p>
        </w:tc>
      </w:tr>
      <w:tr>
        <w:trPr>
          <w:trHeight w:hRule="atLeast" w:val="69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LIVETEXT:</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widowControl/>
              <w:spacing w:after="200" w:before="0" w:line="276" w:lineRule="auto"/>
            </w:pPr>
            <w:r>
              <w:rPr>
                <w:sz w:val="24"/>
                <w:szCs w:val="24"/>
              </w:rPr>
              <w:t xml:space="preserve">Submission of Signature Assignment and other assignments as identified by instructor require a </w:t>
            </w:r>
            <w:r>
              <w:rPr>
                <w:i/>
                <w:sz w:val="24"/>
                <w:szCs w:val="24"/>
              </w:rPr>
              <w:t>LiveText</w:t>
            </w:r>
            <w:r>
              <w:rPr>
                <w:sz w:val="24"/>
                <w:szCs w:val="24"/>
              </w:rPr>
              <w:t xml:space="preserve"> account.  Login to </w:t>
            </w:r>
            <w:r>
              <w:rPr>
                <w:i/>
                <w:sz w:val="24"/>
                <w:szCs w:val="24"/>
              </w:rPr>
              <w:t>LiveText</w:t>
            </w:r>
            <w:r>
              <w:rPr>
                <w:sz w:val="24"/>
                <w:szCs w:val="24"/>
              </w:rPr>
              <w:t xml:space="preserve"> at </w:t>
            </w:r>
            <w:hyperlink r:id="rId3">
              <w:r>
                <w:rPr>
                  <w:rStyle w:val="style16"/>
                  <w:sz w:val="24"/>
                  <w:szCs w:val="24"/>
                </w:rPr>
                <w:t>www.livetext.com</w:t>
              </w:r>
            </w:hyperlink>
            <w:r>
              <w:rPr>
                <w:sz w:val="24"/>
                <w:szCs w:val="24"/>
              </w:rPr>
              <w:t xml:space="preserve"> . If you don’t have a code for livetext the contact the Chaminade University bookstore for a code. </w:t>
            </w:r>
          </w:p>
        </w:tc>
      </w:tr>
      <w:tr>
        <w:trPr>
          <w:trHeight w:hRule="atLeast" w:val="69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 xml:space="preserve">CATALOG DESCRIPTION:  </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sz w:val="24"/>
                <w:szCs w:val="24"/>
              </w:rPr>
              <w:t xml:space="preserve">Philosophy and rationale for teaching math to young children. General math theory and concepts are demonstrated through the use of math materials and other manipulatives. </w:t>
            </w:r>
            <w:r>
              <w:rPr>
                <w:i/>
                <w:sz w:val="24"/>
                <w:szCs w:val="24"/>
              </w:rPr>
              <w:t>Requires observation and participation.</w:t>
            </w:r>
          </w:p>
          <w:p>
            <w:pPr>
              <w:pStyle w:val="style0"/>
              <w:spacing w:after="200" w:before="0"/>
            </w:pPr>
            <w:r>
              <w:rPr>
                <w:i/>
                <w:sz w:val="24"/>
                <w:szCs w:val="24"/>
              </w:rPr>
            </w:r>
          </w:p>
        </w:tc>
      </w:tr>
      <w:tr>
        <w:trPr>
          <w:trHeight w:hRule="atLeast" w:val="69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MAJOR COURSE TOPICS</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numPr>
                <w:ilvl w:val="0"/>
                <w:numId w:val="2"/>
              </w:numPr>
            </w:pPr>
            <w:r>
              <w:rPr>
                <w:sz w:val="24"/>
                <w:szCs w:val="24"/>
              </w:rPr>
              <w:t>Analyzing student’s mathematical thinking.</w:t>
            </w:r>
          </w:p>
          <w:p>
            <w:pPr>
              <w:pStyle w:val="style0"/>
              <w:numPr>
                <w:ilvl w:val="0"/>
                <w:numId w:val="2"/>
              </w:numPr>
              <w:spacing w:after="200" w:before="0"/>
            </w:pPr>
            <w:r>
              <w:rPr>
                <w:sz w:val="24"/>
                <w:szCs w:val="24"/>
              </w:rPr>
              <w:t>meaning for operations, standard and non-standard algorithms, rational number understanding</w:t>
            </w:r>
          </w:p>
        </w:tc>
      </w:tr>
      <w:tr>
        <w:trPr>
          <w:trHeight w:hRule="atLeast" w:val="69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O&amp;P/SERVICE LEARNING</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widowControl/>
              <w:spacing w:after="200" w:before="0" w:line="276" w:lineRule="auto"/>
            </w:pPr>
            <w:r>
              <w:rPr>
                <w:sz w:val="24"/>
                <w:szCs w:val="24"/>
              </w:rPr>
              <w:t xml:space="preserve">EDUC 614 requires 10hrs of observation and participation total. Make sure that you contact the field placement office to establish a placement. There is no service learning requirement for this class but arrangements can frequently be made upon request. </w:t>
            </w:r>
          </w:p>
        </w:tc>
      </w:tr>
      <w:tr>
        <w:trPr>
          <w:trHeight w:hRule="atLeast" w:val="69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EDUCATION  DIVISION GUIDING PHILOSOPHY STATEMENT</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Pr>
                <w:bCs/>
                <w:color w:val="000000"/>
                <w:sz w:val="24"/>
                <w:szCs w:val="24"/>
              </w:rPr>
              <w:t xml:space="preserve">Hawai'ian </w:t>
            </w:r>
            <w:r>
              <w:rPr>
                <w:rStyle w:val="style18"/>
                <w:color w:val="000000"/>
                <w:sz w:val="24"/>
                <w:szCs w:val="24"/>
                <w:shd w:fill="FFFFFF" w:val="clear"/>
              </w:rPr>
              <w:t>'</w:t>
            </w:r>
            <w:r>
              <w:rPr>
                <w:rStyle w:val="style19"/>
                <w:bCs/>
                <w:i w:val="false"/>
                <w:iCs w:val="false"/>
                <w:color w:val="000000"/>
                <w:sz w:val="24"/>
                <w:szCs w:val="24"/>
                <w:shd w:fill="FFFFFF" w:val="clear"/>
              </w:rPr>
              <w:t xml:space="preserve">Ōlelo of Mana (intrapersonal; spirit; embodiment of love, faith, and ethical practice), Aloha (interpersonal; love; sacredness; divine breath), </w:t>
            </w:r>
            <w:r>
              <w:rPr>
                <w:rStyle w:val="style18"/>
                <w:color w:val="000000"/>
                <w:sz w:val="24"/>
                <w:szCs w:val="24"/>
                <w:shd w:fill="FFFFFF" w:val="clear"/>
              </w:rPr>
              <w:t>'O</w:t>
            </w:r>
            <w:r>
              <w:rPr>
                <w:rStyle w:val="style19"/>
                <w:bCs/>
                <w:i w:val="false"/>
                <w:iCs w:val="false"/>
                <w:color w:val="000000"/>
                <w:sz w:val="24"/>
                <w:szCs w:val="24"/>
                <w:shd w:fill="FFFFFF" w:val="clear"/>
              </w:rPr>
              <w:t>hana (classroom; family; interconnectedness), Pono (community; being in alignment and balance in life and the community), and Ho</w:t>
            </w:r>
            <w:r>
              <w:rPr>
                <w:rStyle w:val="style18"/>
                <w:color w:val="000000"/>
                <w:sz w:val="24"/>
                <w:szCs w:val="24"/>
                <w:shd w:fill="FFFFFF" w:val="clear"/>
              </w:rPr>
              <w:t>'</w:t>
            </w:r>
            <w:r>
              <w:rPr>
                <w:rStyle w:val="style19"/>
                <w:bCs/>
                <w:i w:val="false"/>
                <w:iCs w:val="false"/>
                <w:color w:val="000000"/>
                <w:sz w:val="24"/>
                <w:szCs w:val="24"/>
                <w:shd w:fill="FFFFFF" w:val="clear"/>
              </w:rPr>
              <w:t>oma</w:t>
            </w:r>
            <w:r>
              <w:rPr>
                <w:rStyle w:val="style18"/>
                <w:color w:val="000000"/>
                <w:sz w:val="24"/>
                <w:szCs w:val="24"/>
                <w:shd w:fill="FFFFFF" w:val="clear"/>
              </w:rPr>
              <w:t>'ama'a (world; become adapted to; teach one to work)</w:t>
            </w:r>
            <w:r>
              <w:rPr>
                <w:color w:val="000000"/>
                <w:sz w:val="24"/>
                <w:szCs w:val="24"/>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pPr>
              <w:pStyle w:val="style0"/>
              <w:spacing w:after="200" w:before="0"/>
            </w:pPr>
            <w:r>
              <w:rPr>
                <w:sz w:val="24"/>
                <w:szCs w:val="24"/>
              </w:rPr>
            </w:r>
          </w:p>
        </w:tc>
      </w:tr>
      <w:tr>
        <w:trPr>
          <w:trHeight w:hRule="atLeast" w:val="69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EDUCATION DIVISION MISSION STATEMENT</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color w:val="000000"/>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pPr>
              <w:pStyle w:val="style0"/>
              <w:spacing w:after="200" w:before="0"/>
            </w:pPr>
            <w:r>
              <w:rPr>
                <w:color w:val="000000"/>
                <w:sz w:val="24"/>
                <w:szCs w:val="24"/>
              </w:rPr>
            </w:r>
          </w:p>
        </w:tc>
      </w:tr>
      <w:tr>
        <w:trPr>
          <w:trHeight w:hRule="atLeast" w:val="690"/>
          <w:cantSplit w:val="false"/>
        </w:trPr>
        <w:tc>
          <w:tcPr>
            <w:tcW w:type="dxa" w:w="2268"/>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MARIANIST VALUES</w:t>
            </w:r>
          </w:p>
        </w:tc>
        <w:tc>
          <w:tcPr>
            <w:tcW w:type="dxa" w:w="4764"/>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numPr>
                <w:ilvl w:val="1"/>
                <w:numId w:val="6"/>
              </w:numPr>
            </w:pPr>
            <w:r>
              <w:rPr>
                <w:color w:val="000000"/>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pPr>
              <w:pStyle w:val="style0"/>
              <w:numPr>
                <w:ilvl w:val="1"/>
                <w:numId w:val="6"/>
              </w:numPr>
            </w:pPr>
            <w:r>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pPr>
              <w:pStyle w:val="style0"/>
              <w:numPr>
                <w:ilvl w:val="1"/>
                <w:numId w:val="6"/>
              </w:numPr>
            </w:pPr>
            <w:r>
              <w:rPr>
                <w:color w:val="000000"/>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pPr>
              <w:pStyle w:val="style0"/>
              <w:numPr>
                <w:ilvl w:val="1"/>
                <w:numId w:val="6"/>
              </w:numPr>
            </w:pPr>
            <w:r>
              <w:rPr>
                <w:color w:val="000000"/>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pPr>
              <w:pStyle w:val="style0"/>
              <w:numPr>
                <w:ilvl w:val="1"/>
                <w:numId w:val="6"/>
              </w:numPr>
            </w:pPr>
            <w:r>
              <w:rPr>
                <w:color w:val="000000"/>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pPr>
              <w:pStyle w:val="style0"/>
              <w:spacing w:after="200" w:before="0"/>
            </w:pPr>
            <w:r>
              <w:rPr>
                <w:color w:val="000000"/>
                <w:sz w:val="24"/>
                <w:szCs w:val="24"/>
              </w:rPr>
            </w:r>
          </w:p>
        </w:tc>
      </w:tr>
      <w:tr>
        <w:trPr>
          <w:trHeight w:hRule="atLeast" w:val="3015"/>
          <w:cantSplit w:val="false"/>
        </w:trPr>
        <w:tc>
          <w:tcPr>
            <w:tcW w:type="dxa" w:w="2268"/>
            <w:vMerge w:val="restart"/>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b/>
                <w:color w:val="000080"/>
                <w:sz w:val="24"/>
                <w:szCs w:val="24"/>
              </w:rPr>
              <w:t>LICENSURE</w:t>
            </w:r>
          </w:p>
          <w:p>
            <w:pPr>
              <w:pStyle w:val="style0"/>
            </w:pPr>
            <w:r>
              <w:rPr>
                <w:b/>
                <w:color w:val="000080"/>
                <w:sz w:val="24"/>
                <w:szCs w:val="24"/>
              </w:rPr>
              <w:t>PROGRAM OUTCOMES:</w:t>
            </w:r>
          </w:p>
          <w:p>
            <w:pPr>
              <w:pStyle w:val="style0"/>
            </w:pPr>
            <w:r>
              <w:rPr>
                <w:b/>
                <w:color w:val="000080"/>
                <w:sz w:val="24"/>
                <w:szCs w:val="24"/>
              </w:rPr>
            </w:r>
          </w:p>
          <w:p>
            <w:pPr>
              <w:pStyle w:val="style0"/>
            </w:pPr>
            <w:r>
              <w:rPr>
                <w:color w:val="000080"/>
                <w:sz w:val="24"/>
                <w:szCs w:val="24"/>
              </w:rPr>
            </w:r>
          </w:p>
          <w:p>
            <w:pPr>
              <w:pStyle w:val="style0"/>
              <w:spacing w:after="200" w:before="0"/>
            </w:pPr>
            <w:r>
              <w:rPr>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36"/>
            </w:pPr>
            <w:r>
              <w:rPr>
                <w:rFonts w:ascii="Times New Roman" w:cs="Times New Roman" w:hAnsi="Times New Roman"/>
                <w:szCs w:val="24"/>
              </w:rPr>
              <w:t>Program Learning Outcomes (PLOs):</w:t>
            </w:r>
          </w:p>
          <w:p>
            <w:pPr>
              <w:pStyle w:val="style37"/>
            </w:pPr>
            <w:r>
              <w:rPr>
                <w:rFonts w:cs="Times New Roman"/>
                <w:szCs w:val="24"/>
              </w:rPr>
              <w:t>Successful teacher candidates in Chaminade initial teacher licensure programs will demonstrate knowledge, skills, and dispositions in the following areas:</w:t>
            </w:r>
          </w:p>
          <w:p>
            <w:pPr>
              <w:pStyle w:val="style37"/>
            </w:pPr>
            <w:r>
              <w:rPr>
                <w:rFonts w:cs="Times New Roman"/>
                <w:szCs w:val="24"/>
              </w:rPr>
            </w:r>
          </w:p>
          <w:p>
            <w:pPr>
              <w:pStyle w:val="style0"/>
            </w:pPr>
            <w:r>
              <w:rPr>
                <w:sz w:val="24"/>
                <w:szCs w:val="24"/>
              </w:rPr>
              <w:t>Program Learning Outcomes (PLOs):</w:t>
            </w:r>
          </w:p>
          <w:p>
            <w:pPr>
              <w:pStyle w:val="style0"/>
            </w:pPr>
            <w:r>
              <w:rPr>
                <w:sz w:val="24"/>
                <w:szCs w:val="24"/>
              </w:rPr>
              <w:t xml:space="preserve">Successful teacher candidates in Chaminade initial teacher licensure </w:t>
            </w:r>
          </w:p>
          <w:p>
            <w:pPr>
              <w:pStyle w:val="style0"/>
              <w:widowControl/>
              <w:spacing w:after="200" w:before="0" w:line="276" w:lineRule="auto"/>
            </w:pPr>
            <w:r>
              <w:rPr>
                <w:sz w:val="24"/>
                <w:szCs w:val="24"/>
              </w:rPr>
              <w:t>programs will demonstrate knowledge, skills, and dispositions in the following areas:</w:t>
            </w:r>
          </w:p>
        </w:tc>
      </w:tr>
      <w:tr>
        <w:trPr>
          <w:trHeight w:hRule="atLeast" w:val="525"/>
          <w:cantSplit w:val="false"/>
        </w:trPr>
        <w:tc>
          <w:tcPr>
            <w:tcW w:type="dxa" w:w="2268"/>
            <w:vMerge w:val="continue"/>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00"/>
                <w:sz w:val="24"/>
                <w:szCs w:val="24"/>
              </w:rPr>
              <w:t xml:space="preserve">PLO1: </w:t>
            </w:r>
            <w:r>
              <w:rPr>
                <w:rStyle w:val="style20"/>
                <w:b w:val="false"/>
                <w:color w:val="000000"/>
                <w:sz w:val="24"/>
                <w:szCs w:val="24"/>
              </w:rPr>
              <w:t>Content Knowledge</w:t>
            </w:r>
            <w:r>
              <w:rPr>
                <w:rStyle w:val="style21"/>
                <w:color w:val="000000"/>
                <w:sz w:val="24"/>
                <w:szCs w:val="24"/>
              </w:rPr>
              <w:t xml:space="preserve"> (</w:t>
            </w:r>
            <w:r>
              <w:rPr>
                <w:rStyle w:val="style22"/>
                <w:i w:val="false"/>
                <w:color w:val="000000"/>
                <w:sz w:val="24"/>
                <w:szCs w:val="24"/>
              </w:rPr>
              <w:t>Knowledge of subject matter</w:t>
            </w:r>
            <w:r>
              <w:rPr>
                <w:rStyle w:val="style21"/>
                <w:color w:val="000000"/>
                <w:sz w:val="24"/>
                <w:szCs w:val="24"/>
              </w:rPr>
              <w:t>).</w:t>
            </w:r>
          </w:p>
        </w:tc>
      </w:tr>
      <w:tr>
        <w:trPr>
          <w:trHeight w:hRule="atLeast" w:val="413"/>
          <w:cantSplit w:val="false"/>
        </w:trPr>
        <w:tc>
          <w:tcPr>
            <w:tcW w:type="dxa" w:w="2268"/>
            <w:vMerge w:val="continue"/>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00"/>
                <w:sz w:val="24"/>
                <w:szCs w:val="24"/>
              </w:rPr>
              <w:t>PLO2</w:t>
            </w:r>
            <w:r>
              <w:rPr>
                <w:color w:val="000000"/>
                <w:sz w:val="24"/>
                <w:szCs w:val="24"/>
              </w:rPr>
              <w:t xml:space="preserve">: </w:t>
            </w:r>
            <w:r>
              <w:rPr>
                <w:rStyle w:val="style20"/>
                <w:b w:val="false"/>
                <w:color w:val="000000"/>
                <w:sz w:val="24"/>
                <w:szCs w:val="24"/>
              </w:rPr>
              <w:t>Developmentally Appropriate Practice (</w:t>
            </w:r>
            <w:r>
              <w:rPr>
                <w:rStyle w:val="style22"/>
                <w:i w:val="false"/>
                <w:color w:val="000000"/>
                <w:sz w:val="24"/>
                <w:szCs w:val="24"/>
              </w:rPr>
              <w:t>Knowledge of how students develop and learn, and engagement of students in developmentally appropriate experiences that support learning</w:t>
            </w:r>
            <w:r>
              <w:rPr>
                <w:rStyle w:val="style21"/>
                <w:color w:val="000000"/>
                <w:sz w:val="24"/>
                <w:szCs w:val="24"/>
              </w:rPr>
              <w:t>).</w:t>
            </w:r>
          </w:p>
        </w:tc>
      </w:tr>
      <w:tr>
        <w:trPr>
          <w:trHeight w:hRule="atLeast" w:val="440"/>
          <w:cantSplit w:val="false"/>
        </w:trPr>
        <w:tc>
          <w:tcPr>
            <w:tcW w:type="dxa" w:w="2268"/>
            <w:vMerge w:val="continue"/>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00"/>
                <w:sz w:val="24"/>
                <w:szCs w:val="24"/>
              </w:rPr>
              <w:t>PLO3:</w:t>
            </w:r>
            <w:r>
              <w:rPr>
                <w:color w:val="000000"/>
                <w:sz w:val="24"/>
                <w:szCs w:val="24"/>
              </w:rPr>
              <w:t xml:space="preserve"> </w:t>
            </w:r>
            <w:r>
              <w:rPr>
                <w:rStyle w:val="style20"/>
                <w:b w:val="false"/>
                <w:color w:val="000000"/>
                <w:sz w:val="24"/>
                <w:szCs w:val="24"/>
              </w:rPr>
              <w:t>Pedagogical Content Knowledge</w:t>
            </w:r>
            <w:r>
              <w:rPr>
                <w:rStyle w:val="style21"/>
                <w:color w:val="000000"/>
                <w:sz w:val="24"/>
                <w:szCs w:val="24"/>
              </w:rPr>
              <w:t xml:space="preserve"> (</w:t>
            </w:r>
            <w:r>
              <w:rPr>
                <w:rStyle w:val="style22"/>
                <w:i w:val="false"/>
                <w:color w:val="000000"/>
                <w:sz w:val="24"/>
                <w:szCs w:val="24"/>
              </w:rPr>
              <w:t>Knowledge of how to teach subject matter to students and application of a variety of instructional strategies that are rigorous, differentiated, focused on the active involvement of the learner</w:t>
            </w:r>
            <w:r>
              <w:rPr>
                <w:rStyle w:val="style21"/>
                <w:color w:val="000000"/>
                <w:sz w:val="24"/>
                <w:szCs w:val="24"/>
              </w:rPr>
              <w:t>).</w:t>
            </w:r>
          </w:p>
        </w:tc>
      </w:tr>
      <w:tr>
        <w:trPr>
          <w:trHeight w:hRule="atLeast" w:val="540"/>
          <w:cantSplit w:val="false"/>
        </w:trPr>
        <w:tc>
          <w:tcPr>
            <w:tcW w:type="dxa" w:w="2268"/>
            <w:vMerge w:val="continue"/>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00"/>
                <w:sz w:val="24"/>
                <w:szCs w:val="24"/>
              </w:rPr>
              <w:t>PLO4:</w:t>
            </w:r>
            <w:r>
              <w:rPr>
                <w:color w:val="000000"/>
                <w:sz w:val="24"/>
                <w:szCs w:val="24"/>
              </w:rPr>
              <w:t xml:space="preserve"> </w:t>
            </w:r>
            <w:r>
              <w:rPr>
                <w:rStyle w:val="style20"/>
                <w:b w:val="false"/>
                <w:color w:val="000000"/>
                <w:sz w:val="24"/>
                <w:szCs w:val="24"/>
              </w:rPr>
              <w:t>Educational Technology</w:t>
            </w:r>
            <w:r>
              <w:rPr>
                <w:rStyle w:val="style21"/>
                <w:color w:val="000000"/>
                <w:sz w:val="24"/>
                <w:szCs w:val="24"/>
              </w:rPr>
              <w:t xml:space="preserve"> (</w:t>
            </w:r>
            <w:r>
              <w:rPr>
                <w:rStyle w:val="style22"/>
                <w:i w:val="false"/>
                <w:color w:val="000000"/>
                <w:sz w:val="24"/>
                <w:szCs w:val="24"/>
              </w:rPr>
              <w:t>Knowledge of and application of appropriate technology for student learning</w:t>
            </w:r>
            <w:r>
              <w:rPr>
                <w:rStyle w:val="style21"/>
                <w:color w:val="000000"/>
                <w:sz w:val="24"/>
                <w:szCs w:val="24"/>
              </w:rPr>
              <w:t>).</w:t>
            </w:r>
          </w:p>
        </w:tc>
      </w:tr>
      <w:tr>
        <w:trPr>
          <w:trHeight w:hRule="atLeast" w:val="908"/>
          <w:cantSplit w:val="false"/>
        </w:trPr>
        <w:tc>
          <w:tcPr>
            <w:tcW w:type="dxa" w:w="2268"/>
            <w:vMerge w:val="continue"/>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00"/>
                <w:sz w:val="24"/>
                <w:szCs w:val="24"/>
              </w:rPr>
              <w:t>PLO5:</w:t>
            </w:r>
            <w:r>
              <w:rPr>
                <w:color w:val="000000"/>
                <w:sz w:val="24"/>
                <w:szCs w:val="24"/>
              </w:rPr>
              <w:t xml:space="preserve"> </w:t>
            </w:r>
            <w:r>
              <w:rPr>
                <w:rStyle w:val="style20"/>
                <w:b w:val="false"/>
                <w:color w:val="000000"/>
                <w:sz w:val="24"/>
                <w:szCs w:val="24"/>
              </w:rPr>
              <w:t>Assessment for Learning</w:t>
            </w:r>
            <w:r>
              <w:rPr>
                <w:rStyle w:val="style21"/>
                <w:color w:val="000000"/>
                <w:sz w:val="24"/>
                <w:szCs w:val="24"/>
              </w:rPr>
              <w:t xml:space="preserve"> (</w:t>
            </w:r>
            <w:r>
              <w:rPr>
                <w:rStyle w:val="style22"/>
                <w:i w:val="false"/>
                <w:color w:val="000000"/>
                <w:sz w:val="24"/>
                <w:szCs w:val="24"/>
              </w:rPr>
              <w:t>Knowledge of and use of appropriate assessment strategies that enhance the knowledge of learners and their responsibility for their own learning</w:t>
            </w:r>
            <w:r>
              <w:rPr>
                <w:rStyle w:val="style21"/>
                <w:color w:val="000000"/>
                <w:sz w:val="24"/>
                <w:szCs w:val="24"/>
              </w:rPr>
              <w:t>).</w:t>
            </w:r>
          </w:p>
        </w:tc>
      </w:tr>
      <w:tr>
        <w:trPr>
          <w:trHeight w:hRule="atLeast" w:val="570"/>
          <w:cantSplit w:val="false"/>
        </w:trPr>
        <w:tc>
          <w:tcPr>
            <w:tcW w:type="dxa" w:w="2268"/>
            <w:vMerge w:val="continue"/>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00"/>
                <w:sz w:val="24"/>
                <w:szCs w:val="24"/>
              </w:rPr>
              <w:t>PLO6:</w:t>
            </w:r>
            <w:r>
              <w:rPr>
                <w:color w:val="000000"/>
                <w:sz w:val="24"/>
                <w:szCs w:val="24"/>
              </w:rPr>
              <w:t xml:space="preserve"> </w:t>
            </w:r>
            <w:r>
              <w:rPr>
                <w:rStyle w:val="style20"/>
                <w:b w:val="false"/>
                <w:color w:val="000000"/>
                <w:sz w:val="24"/>
                <w:szCs w:val="24"/>
              </w:rPr>
              <w:t>Diversity</w:t>
            </w:r>
            <w:r>
              <w:rPr>
                <w:rStyle w:val="style21"/>
                <w:color w:val="000000"/>
                <w:sz w:val="24"/>
                <w:szCs w:val="24"/>
              </w:rPr>
              <w:t xml:space="preserve"> (</w:t>
            </w:r>
            <w:r>
              <w:rPr>
                <w:rStyle w:val="style22"/>
                <w:i w:val="false"/>
                <w:color w:val="000000"/>
                <w:sz w:val="24"/>
                <w:szCs w:val="24"/>
              </w:rPr>
              <w:t>Skills for adapting learning activities for individual differences and the needs of diverse learners and for maintaining safe positive, caring, and inclusive learning environments).</w:t>
            </w:r>
          </w:p>
        </w:tc>
      </w:tr>
      <w:tr>
        <w:trPr>
          <w:trHeight w:hRule="atLeast" w:val="822"/>
          <w:cantSplit w:val="false"/>
        </w:trPr>
        <w:tc>
          <w:tcPr>
            <w:tcW w:type="dxa" w:w="2268"/>
            <w:vMerge w:val="continue"/>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00"/>
                <w:sz w:val="24"/>
                <w:szCs w:val="24"/>
              </w:rPr>
              <w:t>PLO7:</w:t>
            </w:r>
            <w:r>
              <w:rPr>
                <w:color w:val="000000"/>
                <w:sz w:val="24"/>
                <w:szCs w:val="24"/>
              </w:rPr>
              <w:t xml:space="preserve"> </w:t>
            </w:r>
            <w:r>
              <w:rPr>
                <w:rStyle w:val="style20"/>
                <w:b w:val="false"/>
                <w:color w:val="000000"/>
                <w:sz w:val="24"/>
                <w:szCs w:val="24"/>
              </w:rPr>
              <w:t>Focus on Student Learning</w:t>
            </w:r>
            <w:r>
              <w:rPr>
                <w:rStyle w:val="style21"/>
                <w:color w:val="000000"/>
                <w:sz w:val="24"/>
                <w:szCs w:val="24"/>
              </w:rPr>
              <w:t xml:space="preserve"> (</w:t>
            </w:r>
            <w:r>
              <w:rPr>
                <w:rStyle w:val="style22"/>
                <w:i w:val="false"/>
                <w:color w:val="000000"/>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Pr>
                <w:rStyle w:val="style21"/>
                <w:color w:val="000000"/>
                <w:sz w:val="24"/>
                <w:szCs w:val="24"/>
              </w:rPr>
              <w:t>).</w:t>
            </w:r>
          </w:p>
        </w:tc>
      </w:tr>
      <w:tr>
        <w:trPr>
          <w:trHeight w:hRule="atLeast" w:val="1628"/>
          <w:cantSplit w:val="false"/>
        </w:trPr>
        <w:tc>
          <w:tcPr>
            <w:tcW w:type="dxa" w:w="2268"/>
            <w:vMerge w:val="continue"/>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b/>
                <w:color w:val="000000"/>
                <w:sz w:val="24"/>
                <w:szCs w:val="24"/>
              </w:rPr>
              <w:t>PLO8:</w:t>
            </w:r>
            <w:r>
              <w:rPr>
                <w:color w:val="000000"/>
                <w:sz w:val="24"/>
                <w:szCs w:val="24"/>
              </w:rPr>
              <w:t xml:space="preserve"> </w:t>
            </w:r>
            <w:r>
              <w:rPr>
                <w:rStyle w:val="style20"/>
                <w:b w:val="false"/>
                <w:color w:val="000000"/>
                <w:sz w:val="24"/>
                <w:szCs w:val="24"/>
              </w:rPr>
              <w:t>Professional &amp; Ethical Dispositions and Communication</w:t>
            </w:r>
            <w:r>
              <w:rPr>
                <w:rStyle w:val="style21"/>
                <w:color w:val="000000"/>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p>
            <w:pPr>
              <w:pStyle w:val="style0"/>
              <w:spacing w:after="200" w:before="0"/>
              <w:ind w:hanging="0" w:left="1080" w:right="0"/>
            </w:pPr>
            <w:r>
              <w:rPr/>
            </w:r>
          </w:p>
        </w:tc>
      </w:tr>
      <w:tr>
        <w:trPr>
          <w:trHeight w:hRule="atLeast" w:val="140"/>
          <w:cantSplit w:val="false"/>
        </w:trPr>
        <w:tc>
          <w:tcPr>
            <w:tcW w:type="dxa" w:w="2268"/>
            <w:vMerge w:val="restart"/>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b/>
                <w:color w:val="000080"/>
                <w:sz w:val="24"/>
                <w:szCs w:val="24"/>
              </w:rPr>
              <w:t>COURSE</w:t>
            </w:r>
          </w:p>
          <w:p>
            <w:pPr>
              <w:pStyle w:val="style0"/>
            </w:pPr>
            <w:r>
              <w:rPr>
                <w:b/>
                <w:color w:val="000080"/>
                <w:sz w:val="24"/>
                <w:szCs w:val="24"/>
              </w:rPr>
              <w:t xml:space="preserve"> </w:t>
            </w:r>
            <w:r>
              <w:rPr>
                <w:b/>
                <w:color w:val="000080"/>
                <w:sz w:val="24"/>
                <w:szCs w:val="24"/>
              </w:rPr>
              <w:t>LEARNING OUTCOMES:</w:t>
            </w:r>
          </w:p>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28"/>
              <w:spacing w:after="200" w:before="0"/>
              <w:jc w:val="center"/>
            </w:pPr>
            <w:r>
              <w:rPr>
                <w:b/>
                <w:color w:val="800080"/>
                <w:szCs w:val="24"/>
              </w:rPr>
              <w:t>Outcomes/HTSB Standard(s) addressed</w:t>
            </w:r>
          </w:p>
        </w:tc>
      </w:tr>
      <w:tr>
        <w:trPr>
          <w:trHeight w:hRule="atLeast" w:val="140"/>
          <w:cantSplit w:val="false"/>
        </w:trPr>
        <w:tc>
          <w:tcPr>
            <w:tcW w:type="dxa" w:w="2268"/>
            <w:vMerge w:val="continue"/>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pPr>
            <w:r>
              <w:rPr>
                <w:b/>
                <w:color w:val="000080"/>
                <w:sz w:val="24"/>
                <w:szCs w:val="24"/>
              </w:rPr>
            </w:r>
          </w:p>
        </w:tc>
        <w:tc>
          <w:tcPr>
            <w:tcW w:type="dxa" w:w="4764"/>
            <w:gridSpan w:val="3"/>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2"/>
              <w:numPr>
                <w:ilvl w:val="0"/>
                <w:numId w:val="5"/>
              </w:numPr>
            </w:pPr>
            <w:r>
              <w:rPr>
                <w:szCs w:val="24"/>
              </w:rPr>
              <w:t>Utilize mathematical content knowledge and problem solving skills to investigate real life mathematical situations, to formulate valid questions from problem situations, and to represent situations verbally, numerically/symbolically, graphically, and/or geometrically</w:t>
            </w:r>
            <w:r>
              <w:rPr>
                <w:b/>
                <w:szCs w:val="24"/>
              </w:rPr>
              <w:t>;</w:t>
            </w:r>
          </w:p>
          <w:p>
            <w:pPr>
              <w:pStyle w:val="style0"/>
              <w:numPr>
                <w:ilvl w:val="0"/>
                <w:numId w:val="5"/>
              </w:numPr>
            </w:pPr>
            <w:r>
              <w:rPr>
                <w:sz w:val="24"/>
                <w:szCs w:val="24"/>
              </w:rPr>
              <w:t>Use the NCTM standards and HCPS benchmarks for grades K-6 to guide the planning of standardized, comprehensive, meaningful, and integrated math lessons that engage students in active, hands-on, problem-based learning experiences that take into account student diversity;</w:t>
            </w:r>
          </w:p>
          <w:p>
            <w:pPr>
              <w:pStyle w:val="style0"/>
              <w:numPr>
                <w:ilvl w:val="0"/>
                <w:numId w:val="5"/>
              </w:numPr>
            </w:pPr>
            <w:r>
              <w:rPr>
                <w:sz w:val="24"/>
                <w:szCs w:val="24"/>
              </w:rPr>
              <w:t>Identify and review mathematics resources, and effectively use various forms of technology to enhance student experiences in the K-6 classroom.</w:t>
            </w:r>
          </w:p>
          <w:p>
            <w:pPr>
              <w:pStyle w:val="style0"/>
              <w:spacing w:after="200" w:before="0"/>
              <w:ind w:hanging="0" w:left="360" w:right="0"/>
            </w:pPr>
            <w:r>
              <w:rPr>
                <w:sz w:val="24"/>
                <w:szCs w:val="24"/>
              </w:rPr>
              <w:t xml:space="preserve"> </w:t>
            </w:r>
          </w:p>
        </w:tc>
      </w:tr>
      <w:tr>
        <w:trPr>
          <w:trHeight w:hRule="atLeast" w:val="140"/>
          <w:cantSplit w:val="false"/>
        </w:trPr>
        <w:tc>
          <w:tcPr>
            <w:tcW w:type="dxa" w:w="3516"/>
            <w:gridSpan w:val="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b/>
                <w:color w:val="000080"/>
                <w:sz w:val="24"/>
                <w:szCs w:val="24"/>
              </w:rPr>
              <w:t>PLO/CLO ALIGNMENT</w:t>
            </w:r>
          </w:p>
          <w:p>
            <w:pPr>
              <w:pStyle w:val="style0"/>
              <w:spacing w:after="200" w:before="0"/>
            </w:pPr>
            <w:r>
              <w:rPr>
                <w:b/>
                <w:color w:val="000080"/>
                <w:sz w:val="24"/>
                <w:szCs w:val="24"/>
              </w:rPr>
            </w:r>
          </w:p>
        </w:tc>
        <w:tc>
          <w:tcPr>
            <w:tcW w:type="dxa" w:w="3516"/>
            <w:gridSpan w:val="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tbl>
            <w:tblPr>
              <w:jc w:val="left"/>
              <w:tblBorders/>
            </w:tblPr>
            <w:tblGrid>
              <w:gridCol w:w="849"/>
              <w:gridCol w:w="850"/>
              <w:gridCol w:w="850"/>
              <w:gridCol w:w="850"/>
              <w:gridCol w:w="850"/>
              <w:gridCol w:w="850"/>
              <w:gridCol w:w="850"/>
              <w:gridCol w:w="850"/>
              <w:gridCol w:w="850"/>
            </w:tblGrid>
            <w:tr>
              <w:trPr>
                <w:trHeight w:hRule="atLeast" w:val="184"/>
                <w:cantSplit w:val="false"/>
              </w:trPr>
              <w:tc>
                <w:tcPr>
                  <w:tcW w:type="dxa" w:w="849"/>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r>
                </w:p>
              </w:tc>
              <w:tc>
                <w:tcPr>
                  <w:tcW w:type="dxa" w:w="850"/>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PLO 1</w:t>
                  </w:r>
                </w:p>
              </w:tc>
              <w:tc>
                <w:tcPr>
                  <w:tcW w:type="dxa" w:w="850"/>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PLO 2</w:t>
                  </w:r>
                </w:p>
              </w:tc>
              <w:tc>
                <w:tcPr>
                  <w:tcW w:type="dxa" w:w="850"/>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PLO 3</w:t>
                  </w:r>
                </w:p>
              </w:tc>
              <w:tc>
                <w:tcPr>
                  <w:tcW w:type="dxa" w:w="850"/>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PLO 4</w:t>
                  </w:r>
                </w:p>
              </w:tc>
              <w:tc>
                <w:tcPr>
                  <w:tcW w:type="dxa" w:w="850"/>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PLO 5</w:t>
                  </w:r>
                </w:p>
              </w:tc>
              <w:tc>
                <w:tcPr>
                  <w:tcW w:type="dxa" w:w="850"/>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PLO 6</w:t>
                  </w:r>
                </w:p>
              </w:tc>
              <w:tc>
                <w:tcPr>
                  <w:tcW w:type="dxa" w:w="850"/>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PLO 7</w:t>
                  </w:r>
                </w:p>
              </w:tc>
              <w:tc>
                <w:tcPr>
                  <w:tcW w:type="dxa" w:w="850"/>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PLO 8</w:t>
                  </w:r>
                </w:p>
              </w:tc>
            </w:tr>
            <w:tr>
              <w:trPr>
                <w:trHeight w:hRule="atLeast" w:val="184"/>
                <w:cantSplit w:val="false"/>
              </w:trPr>
              <w:tc>
                <w:tcPr>
                  <w:tcW w:type="dxa" w:w="849"/>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CLO 1</w:t>
                  </w:r>
                </w:p>
              </w:tc>
              <w:tc>
                <w:tcPr>
                  <w:tcW w:type="dxa" w:w="850"/>
                  <w:tcBorders/>
                  <w:shd w:fill="auto" w:val="clear"/>
                  <w:tcMar>
                    <w:top w:type="dxa" w:w="0"/>
                    <w:left w:type="dxa" w:w="0"/>
                    <w:bottom w:type="dxa" w:w="0"/>
                    <w:right w:type="dxa" w:w="0"/>
                  </w:tcMar>
                </w:tcPr>
                <w:p>
                  <w:pPr>
                    <w:pStyle w:val="style41"/>
                    <w:widowControl w:val="false"/>
                    <w:spacing w:after="200" w:before="0"/>
                    <w:jc w:val="center"/>
                  </w:pPr>
                  <w:r>
                    <w:rPr>
                      <w:rFonts w:ascii="Times New Roman" w:cs="Times New Roman" w:hAnsi="Times New Roman"/>
                      <w:color w:val="000000"/>
                      <w:sz w:val="22"/>
                      <w:szCs w:val="22"/>
                    </w:rPr>
                    <w:t>X</w:t>
                  </w:r>
                </w:p>
              </w:tc>
              <w:tc>
                <w:tcPr>
                  <w:tcW w:type="dxa" w:w="848"/>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49"/>
                  <w:tcBorders/>
                  <w:shd w:fill="auto" w:val="clear"/>
                  <w:tcMar>
                    <w:top w:type="dxa" w:w="0"/>
                    <w:left w:type="dxa" w:w="0"/>
                    <w:bottom w:type="dxa" w:w="0"/>
                    <w:right w:type="dxa" w:w="0"/>
                  </w:tcMar>
                </w:tcPr>
                <w:p>
                  <w:pPr>
                    <w:pStyle w:val="style40"/>
                    <w:spacing w:after="200" w:before="0"/>
                  </w:pPr>
                  <w:r>
                    <w:rPr>
                      <w:rFonts w:cs="Times New Roman"/>
                      <w:color w:val="000000"/>
                      <w:sz w:val="22"/>
                      <w:szCs w:val="22"/>
                    </w:rPr>
                  </w:r>
                </w:p>
              </w:tc>
              <w:tc>
                <w:tcPr>
                  <w:tcW w:type="dxa" w:w="849"/>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49"/>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50"/>
                  <w:tcBorders/>
                  <w:shd w:fill="auto" w:val="clear"/>
                  <w:tcMar>
                    <w:top w:type="dxa" w:w="0"/>
                    <w:left w:type="dxa" w:w="0"/>
                    <w:bottom w:type="dxa" w:w="0"/>
                    <w:right w:type="dxa" w:w="0"/>
                  </w:tcMar>
                </w:tcPr>
                <w:p>
                  <w:pPr>
                    <w:pStyle w:val="style40"/>
                    <w:spacing w:after="200" w:before="0"/>
                  </w:pPr>
                  <w:r>
                    <w:rPr>
                      <w:rFonts w:cs="Times New Roman"/>
                      <w:color w:val="000000"/>
                      <w:sz w:val="22"/>
                      <w:szCs w:val="22"/>
                    </w:rPr>
                  </w:r>
                </w:p>
              </w:tc>
              <w:tc>
                <w:tcPr>
                  <w:tcW w:type="dxa" w:w="849"/>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56"/>
                  <w:tcBorders/>
                  <w:shd w:fill="auto" w:val="clear"/>
                  <w:tcMar>
                    <w:top w:type="dxa" w:w="0"/>
                    <w:left w:type="dxa" w:w="0"/>
                    <w:bottom w:type="dxa" w:w="0"/>
                    <w:right w:type="dxa" w:w="0"/>
                  </w:tcMar>
                </w:tcPr>
                <w:p>
                  <w:pPr>
                    <w:pStyle w:val="style41"/>
                    <w:spacing w:after="200" w:before="0"/>
                  </w:pPr>
                  <w:r>
                    <w:rPr>
                      <w:rFonts w:ascii="Times New Roman" w:cs="Times New Roman" w:hAnsi="Times New Roman"/>
                      <w:b w:val="false"/>
                      <w:color w:val="000000"/>
                      <w:sz w:val="22"/>
                      <w:szCs w:val="22"/>
                    </w:rPr>
                  </w:r>
                </w:p>
              </w:tc>
            </w:tr>
            <w:tr>
              <w:trPr>
                <w:trHeight w:hRule="atLeast" w:val="184"/>
                <w:cantSplit w:val="false"/>
              </w:trPr>
              <w:tc>
                <w:tcPr>
                  <w:tcW w:type="dxa" w:w="849"/>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CLO 2</w:t>
                  </w:r>
                </w:p>
              </w:tc>
              <w:tc>
                <w:tcPr>
                  <w:tcW w:type="dxa" w:w="850"/>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48"/>
                  <w:tcBorders/>
                  <w:shd w:fill="auto" w:val="clear"/>
                  <w:tcMar>
                    <w:top w:type="dxa" w:w="0"/>
                    <w:left w:type="dxa" w:w="0"/>
                    <w:bottom w:type="dxa" w:w="0"/>
                    <w:right w:type="dxa" w:w="0"/>
                  </w:tcMar>
                </w:tcPr>
                <w:p>
                  <w:pPr>
                    <w:pStyle w:val="style41"/>
                    <w:widowControl w:val="false"/>
                    <w:spacing w:after="200" w:before="0"/>
                    <w:jc w:val="center"/>
                  </w:pPr>
                  <w:r>
                    <w:rPr>
                      <w:rFonts w:ascii="Times New Roman" w:cs="Times New Roman" w:hAnsi="Times New Roman"/>
                      <w:color w:val="000000"/>
                      <w:sz w:val="22"/>
                      <w:szCs w:val="22"/>
                    </w:rPr>
                    <w:t>X</w:t>
                  </w:r>
                </w:p>
              </w:tc>
              <w:tc>
                <w:tcPr>
                  <w:tcW w:type="dxa" w:w="849"/>
                  <w:tcBorders/>
                  <w:shd w:fill="auto" w:val="clear"/>
                  <w:tcMar>
                    <w:top w:type="dxa" w:w="0"/>
                    <w:left w:type="dxa" w:w="0"/>
                    <w:bottom w:type="dxa" w:w="0"/>
                    <w:right w:type="dxa" w:w="0"/>
                  </w:tcMar>
                </w:tcPr>
                <w:p>
                  <w:pPr>
                    <w:pStyle w:val="style41"/>
                    <w:widowControl w:val="false"/>
                    <w:spacing w:after="200" w:before="0"/>
                    <w:jc w:val="center"/>
                  </w:pPr>
                  <w:r>
                    <w:rPr>
                      <w:rFonts w:ascii="Times New Roman" w:cs="Times New Roman" w:hAnsi="Times New Roman"/>
                      <w:color w:val="000000"/>
                      <w:sz w:val="22"/>
                      <w:szCs w:val="22"/>
                    </w:rPr>
                    <w:t>X</w:t>
                  </w:r>
                </w:p>
              </w:tc>
              <w:tc>
                <w:tcPr>
                  <w:tcW w:type="dxa" w:w="849"/>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49"/>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50"/>
                  <w:tcBorders/>
                  <w:shd w:fill="auto" w:val="clear"/>
                  <w:tcMar>
                    <w:top w:type="dxa" w:w="0"/>
                    <w:left w:type="dxa" w:w="0"/>
                    <w:bottom w:type="dxa" w:w="0"/>
                    <w:right w:type="dxa" w:w="0"/>
                  </w:tcMar>
                </w:tcPr>
                <w:p>
                  <w:pPr>
                    <w:pStyle w:val="style41"/>
                    <w:widowControl w:val="false"/>
                    <w:spacing w:after="200" w:before="0"/>
                    <w:jc w:val="center"/>
                  </w:pPr>
                  <w:r>
                    <w:rPr>
                      <w:rFonts w:ascii="Times New Roman" w:cs="Times New Roman" w:hAnsi="Times New Roman"/>
                      <w:color w:val="000000"/>
                      <w:sz w:val="22"/>
                      <w:szCs w:val="22"/>
                    </w:rPr>
                    <w:t>X</w:t>
                  </w:r>
                </w:p>
              </w:tc>
              <w:tc>
                <w:tcPr>
                  <w:tcW w:type="dxa" w:w="849"/>
                  <w:tcBorders/>
                  <w:shd w:fill="auto" w:val="clear"/>
                  <w:tcMar>
                    <w:top w:type="dxa" w:w="0"/>
                    <w:left w:type="dxa" w:w="0"/>
                    <w:bottom w:type="dxa" w:w="0"/>
                    <w:right w:type="dxa" w:w="0"/>
                  </w:tcMar>
                </w:tcPr>
                <w:p>
                  <w:pPr>
                    <w:pStyle w:val="style41"/>
                    <w:widowControl w:val="false"/>
                    <w:spacing w:after="200" w:before="0"/>
                    <w:jc w:val="center"/>
                  </w:pPr>
                  <w:r>
                    <w:rPr>
                      <w:rFonts w:ascii="Times New Roman" w:cs="Times New Roman" w:hAnsi="Times New Roman"/>
                      <w:color w:val="000000"/>
                      <w:sz w:val="22"/>
                      <w:szCs w:val="22"/>
                    </w:rPr>
                    <w:t>X</w:t>
                  </w:r>
                </w:p>
              </w:tc>
              <w:tc>
                <w:tcPr>
                  <w:tcW w:type="dxa" w:w="856"/>
                  <w:tcBorders/>
                  <w:shd w:fill="auto" w:val="clear"/>
                  <w:tcMar>
                    <w:top w:type="dxa" w:w="0"/>
                    <w:left w:type="dxa" w:w="0"/>
                    <w:bottom w:type="dxa" w:w="0"/>
                    <w:right w:type="dxa" w:w="0"/>
                  </w:tcMar>
                </w:tcPr>
                <w:p>
                  <w:pPr>
                    <w:pStyle w:val="style40"/>
                    <w:spacing w:after="200" w:before="0"/>
                  </w:pPr>
                  <w:r>
                    <w:rPr>
                      <w:rFonts w:cs="Times New Roman"/>
                      <w:b w:val="false"/>
                      <w:color w:val="000000"/>
                      <w:sz w:val="22"/>
                      <w:szCs w:val="22"/>
                    </w:rPr>
                  </w:r>
                </w:p>
              </w:tc>
            </w:tr>
            <w:tr>
              <w:trPr>
                <w:trHeight w:hRule="atLeast" w:val="184"/>
                <w:cantSplit w:val="false"/>
              </w:trPr>
              <w:tc>
                <w:tcPr>
                  <w:tcW w:type="dxa" w:w="849"/>
                  <w:tcBorders/>
                  <w:shd w:fill="auto" w:val="clear"/>
                  <w:tcMar>
                    <w:top w:type="dxa" w:w="0"/>
                    <w:left w:type="dxa" w:w="0"/>
                    <w:bottom w:type="dxa" w:w="0"/>
                    <w:right w:type="dxa" w:w="0"/>
                  </w:tcMar>
                </w:tcPr>
                <w:p>
                  <w:pPr>
                    <w:pStyle w:val="style39"/>
                  </w:pPr>
                  <w:r>
                    <w:rPr>
                      <w:rFonts w:ascii="Times New Roman" w:cs="Times New Roman" w:hAnsi="Times New Roman"/>
                      <w:color w:val="000000"/>
                      <w:sz w:val="22"/>
                      <w:szCs w:val="22"/>
                    </w:rPr>
                    <w:t>CLO 3</w:t>
                  </w:r>
                </w:p>
              </w:tc>
              <w:tc>
                <w:tcPr>
                  <w:tcW w:type="dxa" w:w="850"/>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48"/>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49"/>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49"/>
                  <w:tcBorders/>
                  <w:shd w:fill="auto" w:val="clear"/>
                  <w:tcMar>
                    <w:top w:type="dxa" w:w="0"/>
                    <w:left w:type="dxa" w:w="0"/>
                    <w:bottom w:type="dxa" w:w="0"/>
                    <w:right w:type="dxa" w:w="0"/>
                  </w:tcMar>
                </w:tcPr>
                <w:p>
                  <w:pPr>
                    <w:pStyle w:val="style41"/>
                    <w:widowControl w:val="false"/>
                    <w:spacing w:after="200" w:before="0"/>
                    <w:jc w:val="center"/>
                  </w:pPr>
                  <w:r>
                    <w:rPr>
                      <w:rFonts w:ascii="Times New Roman" w:cs="Times New Roman" w:hAnsi="Times New Roman"/>
                      <w:color w:val="000000"/>
                      <w:sz w:val="22"/>
                      <w:szCs w:val="22"/>
                    </w:rPr>
                    <w:t>X</w:t>
                  </w:r>
                </w:p>
              </w:tc>
              <w:tc>
                <w:tcPr>
                  <w:tcW w:type="dxa" w:w="849"/>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50"/>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49"/>
                  <w:tcBorders/>
                  <w:shd w:fill="auto" w:val="clear"/>
                  <w:tcMar>
                    <w:top w:type="dxa" w:w="0"/>
                    <w:left w:type="dxa" w:w="0"/>
                    <w:bottom w:type="dxa" w:w="0"/>
                    <w:right w:type="dxa" w:w="0"/>
                  </w:tcMar>
                </w:tcPr>
                <w:p>
                  <w:pPr>
                    <w:pStyle w:val="style41"/>
                    <w:spacing w:after="200" w:before="0"/>
                  </w:pPr>
                  <w:r>
                    <w:rPr>
                      <w:rFonts w:ascii="Times New Roman" w:cs="Times New Roman" w:hAnsi="Times New Roman"/>
                      <w:color w:val="000000"/>
                      <w:sz w:val="22"/>
                      <w:szCs w:val="22"/>
                    </w:rPr>
                  </w:r>
                </w:p>
              </w:tc>
              <w:tc>
                <w:tcPr>
                  <w:tcW w:type="dxa" w:w="856"/>
                  <w:tcBorders/>
                  <w:shd w:fill="auto" w:val="clear"/>
                  <w:tcMar>
                    <w:top w:type="dxa" w:w="0"/>
                    <w:left w:type="dxa" w:w="0"/>
                    <w:bottom w:type="dxa" w:w="0"/>
                    <w:right w:type="dxa" w:w="0"/>
                  </w:tcMar>
                </w:tcPr>
                <w:p>
                  <w:pPr>
                    <w:pStyle w:val="style40"/>
                    <w:spacing w:after="200" w:before="0"/>
                  </w:pPr>
                  <w:r>
                    <w:rPr>
                      <w:rFonts w:cs="Times New Roman"/>
                      <w:b w:val="false"/>
                      <w:color w:val="000000"/>
                      <w:sz w:val="22"/>
                      <w:szCs w:val="22"/>
                    </w:rPr>
                  </w:r>
                </w:p>
              </w:tc>
            </w:tr>
          </w:tbl>
          <w:p>
            <w:pPr>
              <w:pStyle w:val="style2"/>
              <w:numPr>
                <w:ilvl w:val="1"/>
                <w:numId w:val="1"/>
              </w:numPr>
              <w:spacing w:after="200" w:before="0"/>
            </w:pPr>
            <w:r>
              <w:rPr>
                <w:sz w:val="20"/>
              </w:rPr>
            </w:r>
          </w:p>
        </w:tc>
      </w:tr>
      <w:tr>
        <w:trPr>
          <w:trHeight w:hRule="atLeast" w:val="700"/>
          <w:cantSplit w:val="false"/>
        </w:trPr>
        <w:tc>
          <w:tcPr>
            <w:tcW w:type="dxa" w:w="226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BIG IDEAS &amp; ESSENTIAL QUESTIONS</w:t>
            </w:r>
          </w:p>
        </w:tc>
        <w:tc>
          <w:tcPr>
            <w:tcW w:type="dxa" w:w="4763"/>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sz w:val="24"/>
                <w:szCs w:val="24"/>
              </w:rPr>
              <w:t>Big Ideas</w:t>
            </w:r>
          </w:p>
          <w:p>
            <w:pPr>
              <w:pStyle w:val="style35"/>
              <w:numPr>
                <w:ilvl w:val="0"/>
                <w:numId w:val="7"/>
              </w:numPr>
            </w:pPr>
            <w:r>
              <w:rPr/>
              <w:t xml:space="preserve">Teaching through problem solving </w:t>
            </w:r>
          </w:p>
          <w:p>
            <w:pPr>
              <w:pStyle w:val="style35"/>
              <w:numPr>
                <w:ilvl w:val="0"/>
                <w:numId w:val="7"/>
              </w:numPr>
            </w:pPr>
            <w:r>
              <w:rPr/>
              <w:t>Mathematical Understanding</w:t>
            </w:r>
          </w:p>
          <w:p>
            <w:pPr>
              <w:pStyle w:val="style35"/>
              <w:numPr>
                <w:ilvl w:val="0"/>
                <w:numId w:val="7"/>
              </w:numPr>
            </w:pPr>
            <w:r>
              <w:rPr/>
              <w:t>Direct Modeling/ Representations</w:t>
            </w:r>
          </w:p>
          <w:p>
            <w:pPr>
              <w:pStyle w:val="style35"/>
              <w:numPr>
                <w:ilvl w:val="0"/>
                <w:numId w:val="7"/>
              </w:numPr>
            </w:pPr>
            <w:r>
              <w:rPr/>
              <w:t xml:space="preserve">Concepts of number &amp; operations, </w:t>
            </w:r>
          </w:p>
          <w:p>
            <w:pPr>
              <w:pStyle w:val="style35"/>
              <w:numPr>
                <w:ilvl w:val="0"/>
                <w:numId w:val="7"/>
              </w:numPr>
            </w:pPr>
            <w:r>
              <w:rPr/>
              <w:t>Measurement</w:t>
            </w:r>
          </w:p>
          <w:p>
            <w:pPr>
              <w:pStyle w:val="style35"/>
              <w:numPr>
                <w:ilvl w:val="0"/>
                <w:numId w:val="7"/>
              </w:numPr>
            </w:pPr>
            <w:r>
              <w:rPr/>
              <w:t>Rational Number</w:t>
            </w:r>
          </w:p>
          <w:p>
            <w:pPr>
              <w:pStyle w:val="style35"/>
              <w:numPr>
                <w:ilvl w:val="0"/>
                <w:numId w:val="7"/>
              </w:numPr>
            </w:pPr>
            <w:r>
              <w:rPr/>
              <w:t>Geometry</w:t>
            </w:r>
          </w:p>
          <w:p>
            <w:pPr>
              <w:pStyle w:val="style35"/>
              <w:numPr>
                <w:ilvl w:val="0"/>
                <w:numId w:val="7"/>
              </w:numPr>
            </w:pPr>
            <w:r>
              <w:rPr/>
              <w:t>Algebra</w:t>
            </w:r>
          </w:p>
          <w:p>
            <w:pPr>
              <w:pStyle w:val="style35"/>
              <w:numPr>
                <w:ilvl w:val="0"/>
                <w:numId w:val="7"/>
              </w:numPr>
            </w:pPr>
            <w:r>
              <w:rPr/>
              <w:t xml:space="preserve">Mathematics for All </w:t>
            </w:r>
          </w:p>
          <w:p>
            <w:pPr>
              <w:pStyle w:val="style0"/>
            </w:pPr>
            <w:r>
              <w:rPr>
                <w:sz w:val="24"/>
                <w:szCs w:val="24"/>
              </w:rPr>
              <w:t>Essential Questions</w:t>
            </w:r>
          </w:p>
          <w:p>
            <w:pPr>
              <w:pStyle w:val="style35"/>
              <w:numPr>
                <w:ilvl w:val="0"/>
                <w:numId w:val="8"/>
              </w:numPr>
            </w:pPr>
            <w:r>
              <w:rPr/>
              <w:t xml:space="preserve">What is mathematical understanding? </w:t>
            </w:r>
          </w:p>
          <w:p>
            <w:pPr>
              <w:pStyle w:val="style35"/>
              <w:numPr>
                <w:ilvl w:val="0"/>
                <w:numId w:val="8"/>
              </w:numPr>
            </w:pPr>
            <w:r>
              <w:rPr/>
              <w:t>What is the role of problem solving in mathematics teaching?</w:t>
            </w:r>
          </w:p>
          <w:p>
            <w:pPr>
              <w:pStyle w:val="style35"/>
              <w:numPr>
                <w:ilvl w:val="0"/>
                <w:numId w:val="8"/>
              </w:numPr>
            </w:pPr>
            <w:r>
              <w:rPr/>
              <w:t>How do we scaffold mathematical understanding?</w:t>
            </w:r>
          </w:p>
          <w:p>
            <w:pPr>
              <w:pStyle w:val="style0"/>
              <w:widowControl/>
              <w:spacing w:after="200" w:before="0" w:line="276" w:lineRule="auto"/>
            </w:pPr>
            <w:r>
              <w:rPr/>
            </w:r>
          </w:p>
        </w:tc>
      </w:tr>
      <w:tr>
        <w:trPr>
          <w:trHeight w:hRule="atLeast" w:val="1223"/>
          <w:cantSplit w:val="false"/>
        </w:trPr>
        <w:tc>
          <w:tcPr>
            <w:tcW w:type="dxa" w:w="3516"/>
            <w:gridSpan w:val="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WEEKLY COURSE REQUREMENTS</w:t>
            </w:r>
          </w:p>
        </w:tc>
        <w:tc>
          <w:tcPr>
            <w:tcW w:type="dxa" w:w="3516"/>
            <w:gridSpan w:val="2"/>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b/>
                <w:sz w:val="24"/>
                <w:szCs w:val="24"/>
              </w:rPr>
              <w:t xml:space="preserve">Online discussion: </w:t>
            </w:r>
            <w:r>
              <w:rPr>
                <w:sz w:val="24"/>
                <w:szCs w:val="24"/>
              </w:rPr>
              <w:t xml:space="preserve">Each week we will be discussing different aspects of teaching mathematics through problem solving. Clicking on a week’s discussion will bring up typically 3-4 different discussions topics in which you must post comments and questions. </w:t>
            </w:r>
            <w:r>
              <w:rPr>
                <w:sz w:val="24"/>
                <w:szCs w:val="24"/>
                <w:u w:val="single"/>
              </w:rPr>
              <w:t>Each discussion topic for the week requires a minimum of two comments and one question to demonstrate active engagement</w:t>
            </w:r>
            <w:r>
              <w:rPr>
                <w:sz w:val="24"/>
                <w:szCs w:val="24"/>
              </w:rPr>
              <w:t xml:space="preserve"> with our learning community. Please note that once the week’s discussions have closed they cannot be reopened for posting, so </w:t>
            </w:r>
            <w:r>
              <w:rPr>
                <w:sz w:val="24"/>
                <w:szCs w:val="24"/>
                <w:u w:val="single"/>
              </w:rPr>
              <w:t>all discussion work must be completed during the current week and cannot be made up at a later date</w:t>
            </w:r>
            <w:r>
              <w:rPr>
                <w:sz w:val="24"/>
                <w:szCs w:val="24"/>
              </w:rPr>
              <w:t xml:space="preserve">. </w:t>
            </w:r>
          </w:p>
          <w:p>
            <w:pPr>
              <w:pStyle w:val="style0"/>
            </w:pPr>
            <w:r>
              <w:rPr>
                <w:b/>
                <w:sz w:val="24"/>
                <w:szCs w:val="24"/>
              </w:rPr>
              <w:t>Math Journal:</w:t>
            </w:r>
            <w:r>
              <w:rPr>
                <w:sz w:val="24"/>
                <w:szCs w:val="24"/>
              </w:rPr>
              <w:t xml:space="preserve"> Each week students will submit a math journal with different activities to demonstrate their understanding of mathematical content, student reasoning and student centered lessons reflecting National Council for Teachers of Mathematics (NCTM) standards. Each week students will do a combination of the following</w:t>
            </w:r>
          </w:p>
          <w:p>
            <w:pPr>
              <w:pStyle w:val="style0"/>
            </w:pPr>
            <w:r>
              <w:rPr>
                <w:b/>
                <w:sz w:val="24"/>
                <w:szCs w:val="24"/>
              </w:rPr>
              <w:t xml:space="preserve">IMAP Student Reasoning Videos: </w:t>
            </w:r>
            <w:r>
              <w:rPr>
                <w:sz w:val="24"/>
                <w:szCs w:val="24"/>
              </w:rPr>
              <w:t xml:space="preserve">Using the IMAP video CD teacher candidates will watch clips of students being interviewed as they reason through problem solving tasks. These videos are designed to get teacher candidates thinking about the types of strategies and knowledge that students construct from mathematical problem solving. Candidates are encouraged to discuss these videos online and be influenced by the ideas of others but must be able to demonstrate that their responses are substantially unique and accurately reflect their own work. </w:t>
            </w:r>
          </w:p>
          <w:p>
            <w:pPr>
              <w:pStyle w:val="style0"/>
            </w:pPr>
            <w:r>
              <w:rPr>
                <w:b/>
                <w:sz w:val="24"/>
                <w:szCs w:val="24"/>
              </w:rPr>
              <w:t xml:space="preserve">Classroom videos from </w:t>
            </w:r>
            <w:hyperlink r:id="rId4">
              <w:r>
                <w:rPr>
                  <w:rStyle w:val="style16"/>
                  <w:b/>
                  <w:sz w:val="24"/>
                  <w:szCs w:val="24"/>
                </w:rPr>
                <w:t>www.Learner.org</w:t>
              </w:r>
            </w:hyperlink>
            <w:r>
              <w:rPr>
                <w:b/>
                <w:sz w:val="24"/>
                <w:szCs w:val="24"/>
              </w:rPr>
              <w:t xml:space="preserve">: </w:t>
            </w:r>
            <w:r>
              <w:rPr>
                <w:sz w:val="24"/>
                <w:szCs w:val="24"/>
              </w:rPr>
              <w:t xml:space="preserve">Teacher candidates will watch examples of expert teaching in mathematics and respond to discussion questions. Again candidates will be encouraged to discuss these online but must produce unique responses. </w:t>
            </w:r>
          </w:p>
          <w:p>
            <w:pPr>
              <w:pStyle w:val="style0"/>
            </w:pPr>
            <w:r>
              <w:rPr>
                <w:b/>
                <w:bCs/>
                <w:sz w:val="24"/>
                <w:szCs w:val="24"/>
              </w:rPr>
              <w:t>Mathematical investigations:</w:t>
            </w:r>
          </w:p>
          <w:p>
            <w:pPr>
              <w:pStyle w:val="style0"/>
            </w:pPr>
            <w:r>
              <w:rPr>
                <w:sz w:val="24"/>
                <w:szCs w:val="24"/>
              </w:rPr>
              <w:t>You will be given mathematical tasks for this assignment. The problems will be carefully selected from among those that have more than one correct answer or they can be solved in more than one way. The problems will provide instances of the potential connections between mathematics and other disciplines and with real life. There are three purposes of these mathematical investigations:</w:t>
            </w:r>
          </w:p>
          <w:p>
            <w:pPr>
              <w:pStyle w:val="style0"/>
            </w:pPr>
            <w:r>
              <w:rPr>
                <w:b/>
                <w:sz w:val="24"/>
                <w:szCs w:val="24"/>
              </w:rPr>
              <w:t>a.</w:t>
            </w:r>
            <w:r>
              <w:rPr>
                <w:sz w:val="24"/>
                <w:szCs w:val="24"/>
              </w:rPr>
              <w:t xml:space="preserve"> to give students a chance to experience first-hand what is meant by mathematical problem solving, mathematical reasoning, mathematical communication, and making mathematical connections with real world and representing mathematical ideas in multiple ways.</w:t>
            </w:r>
          </w:p>
          <w:p>
            <w:pPr>
              <w:pStyle w:val="style0"/>
            </w:pPr>
            <w:r>
              <w:rPr>
                <w:b/>
                <w:sz w:val="24"/>
                <w:szCs w:val="24"/>
              </w:rPr>
              <w:t>b</w:t>
            </w:r>
            <w:r>
              <w:rPr>
                <w:sz w:val="24"/>
                <w:szCs w:val="24"/>
              </w:rPr>
              <w:t>. to model, demonstrate and experience teaching mathematics via problem solving,</w:t>
            </w:r>
          </w:p>
          <w:p>
            <w:pPr>
              <w:pStyle w:val="style0"/>
            </w:pPr>
            <w:r>
              <w:rPr>
                <w:b/>
                <w:sz w:val="24"/>
                <w:szCs w:val="24"/>
              </w:rPr>
              <w:t>c.</w:t>
            </w:r>
            <w:r>
              <w:rPr>
                <w:sz w:val="24"/>
                <w:szCs w:val="24"/>
              </w:rPr>
              <w:t xml:space="preserve"> to polish students’ mathematical knowledge and skills (which is needed to build knowledge of mathematical pedagogy - This is the least important purpose among the three.)</w:t>
            </w:r>
          </w:p>
          <w:p>
            <w:pPr>
              <w:pStyle w:val="style0"/>
            </w:pPr>
            <w:r>
              <w:rPr>
                <w:sz w:val="24"/>
                <w:szCs w:val="24"/>
              </w:rPr>
            </w:r>
          </w:p>
          <w:p>
            <w:pPr>
              <w:pStyle w:val="style0"/>
            </w:pPr>
            <w:r>
              <w:rPr>
                <w:sz w:val="24"/>
                <w:szCs w:val="24"/>
              </w:rPr>
              <w:t xml:space="preserve">Evidence of your genuine effort to solve the problem, </w:t>
            </w:r>
            <w:r>
              <w:rPr>
                <w:sz w:val="24"/>
                <w:szCs w:val="24"/>
                <w:u w:val="single"/>
              </w:rPr>
              <w:t>and clarity and completeness of your written communication</w:t>
            </w:r>
            <w:r>
              <w:rPr>
                <w:sz w:val="24"/>
                <w:szCs w:val="24"/>
              </w:rPr>
              <w:t xml:space="preserve"> of the solution will be more important than the correctness for evaluation of your work.  Your written work is assessed based on a 4-category rubric.  Categories of the rubric are described below. </w:t>
            </w:r>
          </w:p>
          <w:p>
            <w:pPr>
              <w:pStyle w:val="style0"/>
            </w:pPr>
            <w:r>
              <w:rPr>
                <w:sz w:val="24"/>
                <w:szCs w:val="24"/>
              </w:rPr>
            </w:r>
          </w:p>
          <w:p>
            <w:pPr>
              <w:pStyle w:val="style0"/>
            </w:pPr>
            <w:r>
              <w:rPr>
                <w:sz w:val="24"/>
                <w:szCs w:val="24"/>
              </w:rPr>
            </w:r>
          </w:p>
          <w:tbl>
            <w:tblPr>
              <w:jc w:val="left"/>
              <w:tblInd w:type="dxa" w:w="-108"/>
              <w:tblBorders>
                <w:top w:color="00000A" w:space="0" w:sz="6" w:val="single"/>
                <w:left w:color="00000A" w:space="0" w:sz="6" w:val="single"/>
                <w:bottom w:color="00000A" w:space="0" w:sz="6" w:val="single"/>
                <w:right w:color="00000A" w:space="0" w:sz="6" w:val="single"/>
              </w:tblBorders>
            </w:tblPr>
            <w:tblGrid>
              <w:gridCol w:w="3481"/>
              <w:gridCol w:w="3481"/>
            </w:tblGrid>
            <w:tr>
              <w:trPr>
                <w:cantSplit w:val="false"/>
              </w:trPr>
              <w:tc>
                <w:tcPr>
                  <w:tcW w:type="dxa" w:w="3481"/>
                  <w:gridSpan w:val="2"/>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widowControl/>
                    <w:spacing w:after="200" w:before="0" w:line="276" w:lineRule="auto"/>
                  </w:pPr>
                  <w:r>
                    <w:rPr>
                      <w:b/>
                      <w:sz w:val="24"/>
                      <w:szCs w:val="24"/>
                    </w:rPr>
                    <w:t>Rating</w:t>
                  </w:r>
                </w:p>
              </w:tc>
              <w:tc>
                <w:tcPr>
                  <w:tcW w:type="dxa" w:w="3481"/>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widowControl/>
                    <w:spacing w:after="200" w:before="0" w:line="276" w:lineRule="auto"/>
                  </w:pPr>
                  <w:r>
                    <w:rPr>
                      <w:b/>
                      <w:sz w:val="24"/>
                      <w:szCs w:val="24"/>
                    </w:rPr>
                    <w:t xml:space="preserve">explanation of score </w:t>
                  </w:r>
                </w:p>
              </w:tc>
            </w:tr>
            <w:tr>
              <w:trPr>
                <w:cantSplit w:val="false"/>
              </w:trPr>
              <w:tc>
                <w:tcPr>
                  <w:tcW w:type="dxa" w:w="1322"/>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Blank</w:t>
                  </w:r>
                </w:p>
              </w:tc>
              <w:tc>
                <w:tcPr>
                  <w:tcW w:type="dxa" w:w="5640"/>
                  <w:gridSpan w:val="2"/>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pPr>
                  <w:r>
                    <w:rPr>
                      <w:sz w:val="24"/>
                      <w:szCs w:val="24"/>
                    </w:rPr>
                    <w:t>Student does not submit any work.</w:t>
                  </w:r>
                </w:p>
                <w:p>
                  <w:pPr>
                    <w:pStyle w:val="style0"/>
                    <w:spacing w:after="200" w:before="0"/>
                  </w:pPr>
                  <w:r>
                    <w:rPr>
                      <w:sz w:val="24"/>
                      <w:szCs w:val="24"/>
                    </w:rPr>
                  </w:r>
                </w:p>
              </w:tc>
            </w:tr>
            <w:tr>
              <w:trPr>
                <w:cantSplit w:val="false"/>
              </w:trPr>
              <w:tc>
                <w:tcPr>
                  <w:tcW w:type="dxa" w:w="1322"/>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 xml:space="preserve">marginal </w:t>
                  </w:r>
                </w:p>
              </w:tc>
              <w:tc>
                <w:tcPr>
                  <w:tcW w:type="dxa" w:w="5640"/>
                  <w:gridSpan w:val="2"/>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pPr>
                  <w:r>
                    <w:rPr>
                      <w:sz w:val="24"/>
                      <w:szCs w:val="24"/>
                    </w:rPr>
                    <w:t xml:space="preserve">Student submits her/his work, but does not produce a </w:t>
                  </w:r>
                  <w:r>
                    <w:rPr>
                      <w:sz w:val="24"/>
                      <w:szCs w:val="24"/>
                      <w:u w:val="single"/>
                    </w:rPr>
                    <w:t>complete</w:t>
                  </w:r>
                  <w:r>
                    <w:rPr>
                      <w:sz w:val="24"/>
                      <w:szCs w:val="24"/>
                    </w:rPr>
                    <w:t xml:space="preserve"> and </w:t>
                  </w:r>
                  <w:r>
                    <w:rPr>
                      <w:sz w:val="24"/>
                      <w:szCs w:val="24"/>
                      <w:u w:val="single"/>
                    </w:rPr>
                    <w:t>understandable</w:t>
                  </w:r>
                  <w:r>
                    <w:rPr>
                      <w:sz w:val="24"/>
                      <w:szCs w:val="24"/>
                    </w:rPr>
                    <w:t xml:space="preserve"> solution. For example, solution does not reflect understanding the task, there are serious </w:t>
                  </w:r>
                  <w:r>
                    <w:rPr>
                      <w:i/>
                      <w:sz w:val="24"/>
                      <w:szCs w:val="24"/>
                    </w:rPr>
                    <w:t>contradictions</w:t>
                  </w:r>
                  <w:r>
                    <w:rPr>
                      <w:sz w:val="24"/>
                      <w:szCs w:val="24"/>
                    </w:rPr>
                    <w:t xml:space="preserve"> within the solution, solution is not explained thoroughly, student states how the problem can be solved, but does not carry out the solution </w:t>
                  </w:r>
                </w:p>
                <w:p>
                  <w:pPr>
                    <w:pStyle w:val="style0"/>
                    <w:spacing w:after="200" w:before="0"/>
                  </w:pPr>
                  <w:r>
                    <w:rPr>
                      <w:sz w:val="24"/>
                      <w:szCs w:val="24"/>
                    </w:rPr>
                  </w:r>
                </w:p>
              </w:tc>
            </w:tr>
            <w:tr>
              <w:trPr>
                <w:cantSplit w:val="false"/>
              </w:trPr>
              <w:tc>
                <w:tcPr>
                  <w:tcW w:type="dxa" w:w="1322"/>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satisfactory</w:t>
                  </w:r>
                </w:p>
              </w:tc>
              <w:tc>
                <w:tcPr>
                  <w:tcW w:type="dxa" w:w="5640"/>
                  <w:gridSpan w:val="2"/>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pPr>
                  <w:r>
                    <w:rPr>
                      <w:sz w:val="24"/>
                      <w:szCs w:val="24"/>
                    </w:rPr>
                    <w:t xml:space="preserve">Solution reflects understanding the problem, solution involves a reasonable method (which may or may not yield a “correct” answer), solution includes a complete and clear explanation of what is done. </w:t>
                  </w:r>
                </w:p>
                <w:p>
                  <w:pPr>
                    <w:pStyle w:val="style0"/>
                    <w:spacing w:after="200" w:before="0"/>
                  </w:pPr>
                  <w:r>
                    <w:rPr>
                      <w:sz w:val="24"/>
                      <w:szCs w:val="24"/>
                    </w:rPr>
                  </w:r>
                </w:p>
              </w:tc>
            </w:tr>
            <w:tr>
              <w:trPr>
                <w:cantSplit w:val="false"/>
              </w:trPr>
              <w:tc>
                <w:tcPr>
                  <w:tcW w:type="dxa" w:w="1322"/>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 xml:space="preserve">superior </w:t>
                  </w:r>
                </w:p>
              </w:tc>
              <w:tc>
                <w:tcPr>
                  <w:tcW w:type="dxa" w:w="5640"/>
                  <w:gridSpan w:val="2"/>
                  <w:tcBorders>
                    <w:top w:color="00000A" w:space="0" w:sz="6" w:val="single"/>
                    <w:left w:color="00000A" w:space="0" w:sz="6" w:val="single"/>
                    <w:bottom w:color="00000A" w:space="0" w:sz="6" w:val="single"/>
                    <w:right w:color="00000A" w:space="0" w:sz="6"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 xml:space="preserve">Solution reflects understanding the problem, using a reasonable method, successful carrying out of the method, and interpretation of findings. </w:t>
                  </w:r>
                </w:p>
              </w:tc>
            </w:tr>
          </w:tbl>
          <w:p>
            <w:pPr>
              <w:pStyle w:val="style0"/>
            </w:pPr>
            <w:r>
              <w:rPr>
                <w:sz w:val="24"/>
                <w:szCs w:val="24"/>
              </w:rPr>
            </w:r>
          </w:p>
          <w:p>
            <w:pPr>
              <w:pStyle w:val="style0"/>
              <w:widowControl/>
              <w:spacing w:after="200" w:before="0" w:line="276" w:lineRule="auto"/>
            </w:pPr>
            <w:r>
              <w:rPr>
                <w:sz w:val="24"/>
                <w:szCs w:val="24"/>
              </w:rPr>
              <w:t xml:space="preserve">All students will have access to our virtual manipulative tool kit in the e-college document sharing section for use in representing their reasoning and solutions to the investigations. </w:t>
            </w:r>
          </w:p>
        </w:tc>
      </w:tr>
      <w:tr>
        <w:trPr>
          <w:trHeight w:hRule="atLeast" w:val="155"/>
          <w:cantSplit w:val="false"/>
        </w:trPr>
        <w:tc>
          <w:tcPr>
            <w:tcW w:type="dxa" w:w="226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ind w:hanging="0" w:left="360" w:right="0"/>
              <w:jc w:val="right"/>
            </w:pPr>
            <w:r>
              <w:rPr>
                <w:b/>
                <w:color w:val="800080"/>
                <w:sz w:val="24"/>
                <w:szCs w:val="24"/>
              </w:rPr>
              <w:t>Signature Assignment</w:t>
            </w:r>
          </w:p>
        </w:tc>
        <w:tc>
          <w:tcPr>
            <w:tcW w:type="dxa" w:w="4763"/>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widowControl/>
              <w:spacing w:after="200" w:before="0" w:line="276" w:lineRule="auto"/>
            </w:pPr>
            <w:r>
              <w:rPr>
                <w:sz w:val="24"/>
                <w:szCs w:val="24"/>
              </w:rPr>
              <w:t xml:space="preserve">All candidates must produce an original lesson for an elementary k-5 class. The lesson must follow the Understanding by Design (UBD) format. Because this is the closest approximation of how you would teaching in a classroom, this assignment is crucial to passing the course. </w:t>
            </w:r>
            <w:r>
              <w:rPr>
                <w:sz w:val="24"/>
                <w:szCs w:val="24"/>
                <w:u w:val="single"/>
              </w:rPr>
              <w:t xml:space="preserve">Students who do not receive a passing grade on the UBD lesson plan assignment will not be able to pass the course regardless of other point totals. </w:t>
            </w:r>
            <w:r>
              <w:rPr>
                <w:sz w:val="24"/>
                <w:szCs w:val="24"/>
              </w:rPr>
              <w:t>Students are encouraged to provide peer review to their classmates on their lesson plans.</w:t>
            </w:r>
          </w:p>
        </w:tc>
      </w:tr>
      <w:tr>
        <w:trPr>
          <w:trHeight w:hRule="atLeast" w:val="75"/>
          <w:cantSplit w:val="false"/>
        </w:trPr>
        <w:tc>
          <w:tcPr>
            <w:tcW w:type="dxa" w:w="2269"/>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spacing w:after="200" w:before="0"/>
              <w:jc w:val="right"/>
            </w:pPr>
            <w:r>
              <w:rPr>
                <w:b/>
                <w:color w:val="800080"/>
                <w:sz w:val="24"/>
                <w:szCs w:val="24"/>
              </w:rPr>
              <w:t>ONLINE PARTICIPATION</w:t>
            </w:r>
          </w:p>
        </w:tc>
        <w:tc>
          <w:tcPr>
            <w:tcW w:type="dxa" w:w="4763"/>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sz w:val="24"/>
                <w:szCs w:val="24"/>
              </w:rPr>
              <w:t xml:space="preserve">Online participation. For each discussion thread candidates are expected to post a minimum of two comments and one discussion question demonstrating understanding of the course content and interaction with other students. Participation is assessed each week and students will receive feedback about the quality and quantity of their participation. </w:t>
            </w:r>
          </w:p>
          <w:p>
            <w:pPr>
              <w:pStyle w:val="style0"/>
            </w:pPr>
            <w:r>
              <w:rPr>
                <w:sz w:val="24"/>
                <w:szCs w:val="24"/>
              </w:rPr>
            </w:r>
          </w:p>
          <w:p>
            <w:pPr>
              <w:pStyle w:val="style0"/>
            </w:pPr>
            <w:r>
              <w:rPr>
                <w:sz w:val="24"/>
                <w:szCs w:val="24"/>
              </w:rPr>
              <w:t xml:space="preserve">All students should post their schedule during the first week to find a peer reviewer for their work who will be logged in at the same times during the week. This is important to building a learning community so that each person is able to interact with others when they post in the discussion. </w:t>
              <w:tab/>
            </w:r>
          </w:p>
          <w:p>
            <w:pPr>
              <w:pStyle w:val="style0"/>
            </w:pPr>
            <w:r>
              <w:rPr>
                <w:sz w:val="24"/>
                <w:szCs w:val="24"/>
              </w:rPr>
            </w:r>
          </w:p>
          <w:p>
            <w:pPr>
              <w:pStyle w:val="style0"/>
            </w:pPr>
            <w:r>
              <w:rPr>
                <w:sz w:val="24"/>
                <w:szCs w:val="24"/>
                <w:u w:val="single"/>
              </w:rPr>
              <w:t>Failure to participate in an entire week of the course will be seen as an absence which will drop the candidate’s score one full grade (30pts).</w:t>
            </w:r>
            <w:r>
              <w:rPr>
                <w:sz w:val="24"/>
                <w:szCs w:val="24"/>
              </w:rPr>
              <w:t xml:space="preserve"> The reason for this is that other students depend on the peer review and feedback of their classmates to be successful. All members of the course must work to be active and respectful members of our learning community. </w:t>
              <w:tab/>
            </w:r>
          </w:p>
          <w:p>
            <w:pPr>
              <w:pStyle w:val="style0"/>
            </w:pPr>
            <w:r>
              <w:rPr>
                <w:sz w:val="24"/>
                <w:szCs w:val="24"/>
              </w:rPr>
            </w:r>
          </w:p>
          <w:p>
            <w:pPr>
              <w:pStyle w:val="style0"/>
              <w:widowControl/>
              <w:spacing w:after="200" w:before="0" w:line="276" w:lineRule="auto"/>
            </w:pPr>
            <w:r>
              <w:rPr>
                <w:sz w:val="24"/>
                <w:szCs w:val="24"/>
                <w:u w:val="single"/>
              </w:rPr>
              <w:t>Virtual Class Sunday 3-6PM</w:t>
            </w:r>
            <w:r>
              <w:rPr>
                <w:sz w:val="24"/>
                <w:szCs w:val="24"/>
              </w:rPr>
              <w:t>: In the hope of getting folks to work together to work on problems and have interactive discussion. We will be having a virtual class time on Sunday. If you can make this time that is fine but be sure that you have engaged time working with someone earlier in the week to make up for it. This way it gives me a chance to login and talk to folks if need be before the Monday due dates.</w:t>
              <w:tab/>
              <w:tab/>
              <w:t xml:space="preserve">                              </w:t>
            </w:r>
          </w:p>
        </w:tc>
      </w:tr>
      <w:tr>
        <w:trPr>
          <w:trHeight w:hRule="atLeast" w:val="1305"/>
          <w:cantSplit w:val="false"/>
        </w:trPr>
        <w:tc>
          <w:tcPr>
            <w:tcW w:type="dxa" w:w="2269"/>
            <w:vMerge w:val="restart"/>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spacing w:after="200" w:before="0"/>
              <w:jc w:val="right"/>
            </w:pPr>
            <w:r>
              <w:rPr>
                <w:b/>
                <w:color w:val="800080"/>
                <w:sz w:val="24"/>
                <w:szCs w:val="24"/>
              </w:rPr>
              <w:t>Grading Scale</w:t>
            </w:r>
          </w:p>
        </w:tc>
        <w:tc>
          <w:tcPr>
            <w:tcW w:type="dxa" w:w="3734"/>
            <w:gridSpan w:val="2"/>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sz w:val="24"/>
                <w:szCs w:val="24"/>
              </w:rPr>
              <w:t>A 180-200</w:t>
            </w:r>
          </w:p>
          <w:p>
            <w:pPr>
              <w:pStyle w:val="style0"/>
            </w:pPr>
            <w:r>
              <w:rPr>
                <w:sz w:val="24"/>
                <w:szCs w:val="24"/>
              </w:rPr>
              <w:t>B 160-179</w:t>
            </w:r>
          </w:p>
          <w:p>
            <w:pPr>
              <w:pStyle w:val="style0"/>
            </w:pPr>
            <w:r>
              <w:rPr>
                <w:sz w:val="24"/>
                <w:szCs w:val="24"/>
              </w:rPr>
              <w:t>C 140-159</w:t>
            </w:r>
          </w:p>
          <w:p>
            <w:pPr>
              <w:pStyle w:val="style0"/>
            </w:pPr>
            <w:r>
              <w:rPr>
                <w:sz w:val="24"/>
                <w:szCs w:val="24"/>
              </w:rPr>
              <w:t>D 120-139</w:t>
            </w:r>
          </w:p>
          <w:p>
            <w:pPr>
              <w:pStyle w:val="style0"/>
              <w:widowControl/>
              <w:spacing w:after="200" w:before="0" w:line="276" w:lineRule="auto"/>
            </w:pPr>
            <w:r>
              <w:rPr>
                <w:sz w:val="24"/>
                <w:szCs w:val="24"/>
              </w:rPr>
              <w:t>F 100-119</w:t>
            </w:r>
          </w:p>
        </w:tc>
        <w:tc>
          <w:tcPr>
            <w:tcW w:type="dxa" w:w="4545"/>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pPr>
            <w:r>
              <w:rPr>
                <w:sz w:val="24"/>
                <w:szCs w:val="24"/>
              </w:rPr>
              <w:t>Signature Assignment                         100</w:t>
            </w:r>
          </w:p>
          <w:p>
            <w:pPr>
              <w:pStyle w:val="style0"/>
            </w:pPr>
            <w:r>
              <w:rPr>
                <w:sz w:val="24"/>
                <w:szCs w:val="24"/>
              </w:rPr>
              <w:t>Math journal Weekly                          100</w:t>
            </w:r>
          </w:p>
          <w:p>
            <w:pPr>
              <w:pStyle w:val="style0"/>
            </w:pPr>
            <w:r>
              <w:rPr>
                <w:sz w:val="24"/>
                <w:szCs w:val="24"/>
                <w:u w:val="single"/>
              </w:rPr>
              <w:t>Weekly Participation                          100</w:t>
            </w:r>
          </w:p>
          <w:p>
            <w:pPr>
              <w:pStyle w:val="style0"/>
            </w:pPr>
            <w:r>
              <w:rPr>
                <w:sz w:val="24"/>
                <w:szCs w:val="24"/>
              </w:rPr>
              <w:t xml:space="preserve">Points Total                                        300 </w:t>
            </w:r>
          </w:p>
          <w:p>
            <w:pPr>
              <w:pStyle w:val="style0"/>
            </w:pPr>
            <w:r>
              <w:rPr>
                <w:sz w:val="24"/>
                <w:szCs w:val="24"/>
              </w:rPr>
            </w:r>
          </w:p>
          <w:p>
            <w:pPr>
              <w:pStyle w:val="style0"/>
            </w:pPr>
            <w:r>
              <w:rPr>
                <w:sz w:val="24"/>
                <w:szCs w:val="24"/>
              </w:rPr>
            </w:r>
          </w:p>
          <w:p>
            <w:pPr>
              <w:pStyle w:val="style0"/>
              <w:spacing w:after="200" w:before="0"/>
            </w:pPr>
            <w:r>
              <w:rPr>
                <w:sz w:val="24"/>
                <w:szCs w:val="24"/>
              </w:rPr>
            </w:r>
          </w:p>
        </w:tc>
      </w:tr>
      <w:tr>
        <w:trPr>
          <w:trHeight w:hRule="atLeast" w:val="818"/>
          <w:cantSplit w:val="false"/>
        </w:trPr>
        <w:tc>
          <w:tcPr>
            <w:tcW w:type="dxa" w:w="2269"/>
            <w:vMerge w:val="continue"/>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spacing w:after="200" w:before="0"/>
              <w:jc w:val="right"/>
            </w:pPr>
            <w:r>
              <w:rPr>
                <w:b/>
                <w:color w:val="800080"/>
                <w:sz w:val="24"/>
                <w:szCs w:val="24"/>
              </w:rPr>
            </w:r>
          </w:p>
        </w:tc>
        <w:tc>
          <w:tcPr>
            <w:tcW w:type="dxa" w:w="4763"/>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widowControl/>
              <w:spacing w:after="200" w:before="0" w:line="276" w:lineRule="auto"/>
            </w:pPr>
            <w:r>
              <w:rPr>
                <w:sz w:val="24"/>
                <w:szCs w:val="24"/>
              </w:rPr>
              <w:t xml:space="preserve">Late Work: All submitted work (i.e., our math journal or lesson plan) will be reduced by 10% each day it is late. Please be aware of this and plan accordingly. </w:t>
            </w:r>
          </w:p>
        </w:tc>
      </w:tr>
      <w:tr>
        <w:trPr>
          <w:trHeight w:hRule="atLeast" w:val="155"/>
          <w:cantSplit w:val="false"/>
        </w:trPr>
        <w:tc>
          <w:tcPr>
            <w:tcW w:type="dxa" w:w="226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b/>
                <w:color w:val="000080"/>
                <w:sz w:val="24"/>
                <w:szCs w:val="24"/>
              </w:rPr>
              <w:t>ATTENDANCE POLICIES:</w:t>
            </w:r>
          </w:p>
        </w:tc>
        <w:tc>
          <w:tcPr>
            <w:tcW w:type="dxa" w:w="4763"/>
            <w:gridSpan w:val="3"/>
            <w:tcBorders>
              <w:top w:color="00000A" w:space="0" w:sz="4" w:val="single"/>
              <w:left w:color="00000A" w:space="0" w:sz="4" w:val="single"/>
              <w:bottom w:color="00000A" w:space="0" w:sz="4" w:val="single"/>
              <w:right w:color="00000A" w:space="0" w:sz="4" w:val="single"/>
            </w:tcBorders>
            <w:shd w:fill="FFFFFF" w:val="clear"/>
            <w:tcMar>
              <w:top w:type="dxa" w:w="0"/>
              <w:left w:type="dxa" w:w="108"/>
              <w:bottom w:type="dxa" w:w="0"/>
              <w:right w:type="dxa" w:w="108"/>
            </w:tcMar>
          </w:tcPr>
          <w:p>
            <w:pPr>
              <w:pStyle w:val="style0"/>
              <w:spacing w:after="28" w:before="28"/>
            </w:pPr>
            <w:r>
              <w:rPr>
                <w:caps/>
                <w:color w:val="000000"/>
              </w:rPr>
              <w:t>Attendance Policy</w:t>
            </w:r>
            <w:r>
              <w:rPr>
                <w:color w:val="000000"/>
              </w:rPr>
              <w:t>: The Chaminade Education Division has a new attendance policy that is now in effect for all classes. Please be aware of this because an inability to attend class regularly and punctually will adversely affect your grade in the following ways:</w:t>
            </w:r>
          </w:p>
          <w:p>
            <w:pPr>
              <w:pStyle w:val="style0"/>
              <w:ind w:hanging="360" w:left="720" w:right="0"/>
            </w:pPr>
            <w:r>
              <w:rPr/>
              <w:t>1)    </w:t>
            </w:r>
            <w:r>
              <w:rPr>
                <w:b/>
              </w:rPr>
              <w:t xml:space="preserve">Absences </w:t>
            </w:r>
            <w:r>
              <w:rPr/>
              <w:t xml:space="preserve">totaling 10% of the number of classes (will result in a lowering of the overall grade by one letter grade. A student who misses 20% or more should drop the class. </w:t>
            </w:r>
            <w:r>
              <w:rPr>
                <w:u w:val="single"/>
              </w:rPr>
              <w:t xml:space="preserve">In our ten week online class a week of non-participation is considered an absence and will result in a 30 point reduction. Please be careful to consistently login to the course and be a conscientious member of our learning community. </w:t>
            </w:r>
          </w:p>
          <w:p>
            <w:pPr>
              <w:pStyle w:val="style0"/>
              <w:ind w:hanging="360" w:left="720" w:right="0"/>
            </w:pPr>
            <w:r>
              <w:rPr/>
              <w:t>2)    </w:t>
            </w:r>
            <w:r>
              <w:rPr>
                <w:b/>
              </w:rPr>
              <w:t>Last minute posting</w:t>
            </w:r>
            <w:r>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pPr>
              <w:pStyle w:val="style0"/>
            </w:pPr>
            <w:r>
              <w:rPr>
                <w:color w:val="000000"/>
              </w:rPr>
              <w:br/>
            </w:r>
            <w:r>
              <w:rPr>
                <w:b/>
                <w:bCs/>
                <w:color w:val="000000"/>
              </w:rPr>
              <w:t>Writing Standards</w:t>
            </w:r>
            <w:r>
              <w:rPr>
                <w:color w:val="000000"/>
              </w:rPr>
              <w:br/>
              <w:t>All work submitted by Chaminade University students must meet the following writing standards. Written assignments should:</w:t>
            </w:r>
          </w:p>
          <w:p>
            <w:pPr>
              <w:pStyle w:val="style0"/>
              <w:numPr>
                <w:ilvl w:val="0"/>
                <w:numId w:val="3"/>
              </w:numPr>
              <w:spacing w:after="28" w:before="28"/>
            </w:pPr>
            <w:r>
              <w:rPr>
                <w:color w:val="000000"/>
              </w:rPr>
              <w:t xml:space="preserve">Use correctly the grammar, spelling, punctuation, and sentence structure of Standard Written English. </w:t>
            </w:r>
          </w:p>
          <w:p>
            <w:pPr>
              <w:pStyle w:val="style0"/>
              <w:numPr>
                <w:ilvl w:val="0"/>
                <w:numId w:val="3"/>
              </w:numPr>
              <w:spacing w:after="28" w:before="28"/>
            </w:pPr>
            <w:r>
              <w:rPr>
                <w:color w:val="000000"/>
              </w:rPr>
              <w:t xml:space="preserve">Develop ideas, themes, and main points coherently and concisely. </w:t>
            </w:r>
          </w:p>
          <w:p>
            <w:pPr>
              <w:pStyle w:val="style0"/>
              <w:numPr>
                <w:ilvl w:val="0"/>
                <w:numId w:val="3"/>
              </w:numPr>
              <w:spacing w:after="28" w:before="28"/>
            </w:pPr>
            <w:r>
              <w:rPr>
                <w:color w:val="000000"/>
              </w:rPr>
              <w:t xml:space="preserve">Adopt modes and styles appropriate to their purpose and audience. </w:t>
            </w:r>
          </w:p>
          <w:p>
            <w:pPr>
              <w:pStyle w:val="style0"/>
              <w:numPr>
                <w:ilvl w:val="0"/>
                <w:numId w:val="3"/>
              </w:numPr>
              <w:spacing w:after="28" w:before="28"/>
            </w:pPr>
            <w:r>
              <w:rPr>
                <w:color w:val="000000"/>
              </w:rPr>
              <w:t xml:space="preserve">Be clear, complete, and effective. </w:t>
            </w:r>
          </w:p>
          <w:p>
            <w:pPr>
              <w:pStyle w:val="style0"/>
              <w:numPr>
                <w:ilvl w:val="0"/>
                <w:numId w:val="3"/>
              </w:numPr>
              <w:spacing w:after="28" w:before="28"/>
            </w:pPr>
            <w:r>
              <w:rPr>
                <w:color w:val="000000"/>
              </w:rPr>
              <w:t xml:space="preserve">Carefully analyze and synthesize material and ideas borrowed from sources. In addition, the sources of the borrowed material should be correctly acknowledged to avoid plagiarism. </w:t>
            </w:r>
          </w:p>
          <w:p>
            <w:pPr>
              <w:pStyle w:val="style0"/>
            </w:pPr>
            <w:r>
              <w:rPr>
                <w:color w:val="000000"/>
              </w:rPr>
              <w:br/>
            </w:r>
            <w:r>
              <w:rPr>
                <w:b/>
                <w:bCs/>
                <w:color w:val="000000"/>
              </w:rPr>
              <w:t>Plagiarism</w:t>
            </w:r>
            <w:r>
              <w:rPr>
                <w:color w:val="000000"/>
              </w:rPr>
              <w:t xml:space="preserve"> - “Plagiarism is the offering of work of another as one's own. Plagiarism is a serious offense and may include, but is not limited to, the following:</w:t>
            </w:r>
          </w:p>
          <w:p>
            <w:pPr>
              <w:pStyle w:val="style0"/>
              <w:numPr>
                <w:ilvl w:val="0"/>
                <w:numId w:val="4"/>
              </w:numPr>
              <w:spacing w:after="28" w:before="28"/>
            </w:pPr>
            <w:r>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pPr>
              <w:pStyle w:val="style0"/>
              <w:numPr>
                <w:ilvl w:val="0"/>
                <w:numId w:val="4"/>
              </w:numPr>
              <w:spacing w:after="28" w:before="28"/>
            </w:pPr>
            <w:r>
              <w:rPr>
                <w:color w:val="000000"/>
              </w:rPr>
              <w:t xml:space="preserve">Paraphrasing the work of another without proper author acknowledgment. </w:t>
            </w:r>
          </w:p>
          <w:p>
            <w:pPr>
              <w:pStyle w:val="style0"/>
              <w:numPr>
                <w:ilvl w:val="0"/>
                <w:numId w:val="4"/>
              </w:numPr>
              <w:spacing w:after="28" w:before="28"/>
            </w:pPr>
            <w:r>
              <w:rPr>
                <w:color w:val="000000"/>
              </w:rPr>
              <w:t xml:space="preserve">Submitting as one's own original work (however freely given or purchased) the original exam, research paper, manuscript, report, computer file, or other assignment that has been prepared by another individual. </w:t>
            </w:r>
          </w:p>
          <w:p>
            <w:pPr>
              <w:pStyle w:val="style0"/>
              <w:widowControl/>
              <w:spacing w:after="200" w:before="0" w:line="276" w:lineRule="auto"/>
            </w:pPr>
            <w:r>
              <w:rPr>
                <w:color w:val="000000"/>
              </w:rPr>
              <w:t xml:space="preserve">Please refer to your </w:t>
            </w:r>
            <w:r>
              <w:rPr>
                <w:b/>
                <w:bCs/>
                <w:color w:val="000000"/>
              </w:rPr>
              <w:t xml:space="preserve">Student Handbook, General Catalog, </w:t>
            </w:r>
            <w:r>
              <w:rPr>
                <w:color w:val="000000"/>
              </w:rPr>
              <w:t xml:space="preserve">and the </w:t>
            </w:r>
            <w:r>
              <w:rPr>
                <w:b/>
                <w:bCs/>
                <w:color w:val="000000"/>
              </w:rPr>
              <w:t>Education Division Policy Manual</w:t>
            </w:r>
            <w:r>
              <w:rPr>
                <w:color w:val="000000"/>
              </w:rPr>
              <w:t xml:space="preserve"> for other important institutional and academic policies including more detailed information regarding Plagiarism, Classroom department, Freedom of Expression, Add/Drop, Disabilities, and others.</w:t>
            </w:r>
          </w:p>
        </w:tc>
      </w:tr>
    </w:tbl>
    <w:p>
      <w:pPr>
        <w:pStyle w:val="style2"/>
        <w:numPr>
          <w:ilvl w:val="1"/>
          <w:numId w:val="1"/>
        </w:numPr>
      </w:pPr>
      <w:r>
        <w:rPr/>
        <w:tab/>
        <w:tab/>
        <w:tab/>
        <w:tab/>
        <w:tab/>
      </w:r>
    </w:p>
    <w:p>
      <w:pPr>
        <w:pStyle w:val="style0"/>
      </w:pPr>
      <w:r>
        <w:rPr/>
      </w:r>
    </w:p>
    <w:tbl>
      <w:tblPr>
        <w:jc w:val="left"/>
        <w:tblInd w:type="dxa" w:w="-108"/>
        <w:tblBorders/>
      </w:tblPr>
      <w:tblGrid>
        <w:gridCol w:w="2160"/>
      </w:tblGrid>
      <w:tr>
        <w:trPr>
          <w:trHeight w:hRule="atLeast" w:val="368"/>
          <w:cantSplit w:val="false"/>
        </w:trPr>
        <w:tc>
          <w:tcPr>
            <w:tcW w:type="dxa" w:w="2160"/>
            <w:gridSpan w:val="5"/>
            <w:tcBorders/>
            <w:shd w:fill="auto" w:val="clear"/>
            <w:tcMar>
              <w:top w:type="dxa" w:w="0"/>
              <w:left w:type="dxa" w:w="108"/>
              <w:bottom w:type="dxa" w:w="0"/>
              <w:right w:type="dxa" w:w="108"/>
            </w:tcMar>
          </w:tcPr>
          <w:p>
            <w:pPr>
              <w:pStyle w:val="style0"/>
              <w:pageBreakBefore/>
              <w:spacing w:after="200" w:before="0"/>
              <w:jc w:val="center"/>
            </w:pPr>
            <w:r>
              <w:rPr>
                <w:b/>
                <w:sz w:val="24"/>
                <w:szCs w:val="24"/>
                <w:u w:val="single"/>
              </w:rPr>
              <w:t>WEEKLY SCHEDULE</w:t>
            </w:r>
          </w:p>
        </w:tc>
      </w:tr>
      <w:tr>
        <w:trPr>
          <w:trHeight w:hRule="atLeast" w:val="183"/>
          <w:cantSplit w:val="false"/>
        </w:trPr>
        <w:tc>
          <w:tcPr>
            <w:tcW w:type="dxa" w:w="599"/>
            <w:tcBorders>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jc w:val="center"/>
            </w:pPr>
            <w:r>
              <w:rPr>
                <w:b/>
                <w:sz w:val="24"/>
                <w:szCs w:val="24"/>
              </w:rPr>
              <w:t>No.</w:t>
            </w:r>
          </w:p>
        </w:tc>
        <w:tc>
          <w:tcPr>
            <w:tcW w:type="dxa" w:w="1080"/>
            <w:tcBorders>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jc w:val="center"/>
            </w:pPr>
            <w:r>
              <w:rPr>
                <w:b/>
                <w:sz w:val="24"/>
                <w:szCs w:val="24"/>
              </w:rPr>
              <w:t>Date</w:t>
            </w:r>
          </w:p>
        </w:tc>
        <w:tc>
          <w:tcPr>
            <w:tcW w:type="dxa" w:w="2879"/>
            <w:tcBorders>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jc w:val="center"/>
            </w:pPr>
            <w:r>
              <w:rPr>
                <w:b/>
                <w:sz w:val="24"/>
                <w:szCs w:val="24"/>
              </w:rPr>
              <w:t xml:space="preserve">Major Topic </w:t>
            </w:r>
          </w:p>
        </w:tc>
        <w:tc>
          <w:tcPr>
            <w:tcW w:type="dxa" w:w="3240"/>
            <w:tcBorders>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jc w:val="center"/>
            </w:pPr>
            <w:r>
              <w:rPr>
                <w:b/>
                <w:sz w:val="24"/>
                <w:szCs w:val="24"/>
              </w:rPr>
              <w:t>Required Reading</w:t>
            </w:r>
          </w:p>
        </w:tc>
        <w:tc>
          <w:tcPr>
            <w:tcW w:type="dxa" w:w="3002"/>
            <w:tcBorders>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spacing w:after="200" w:before="0"/>
              <w:jc w:val="center"/>
            </w:pPr>
            <w:r>
              <w:rPr>
                <w:b/>
                <w:sz w:val="24"/>
                <w:szCs w:val="24"/>
              </w:rPr>
              <w:t>Assignments Due</w:t>
            </w:r>
          </w:p>
        </w:tc>
      </w:tr>
      <w:tr>
        <w:trPr>
          <w:trHeight w:hRule="atLeast" w:val="785"/>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10/8</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4"/>
                <w:szCs w:val="24"/>
              </w:rPr>
              <w:t>Problem Solving in mathematics</w:t>
            </w:r>
          </w:p>
          <w:p>
            <w:pPr>
              <w:pStyle w:val="style0"/>
              <w:widowControl/>
              <w:spacing w:after="200" w:before="0" w:line="276" w:lineRule="auto"/>
            </w:pPr>
            <w:r>
              <w:rPr>
                <w:sz w:val="24"/>
                <w:szCs w:val="24"/>
              </w:rPr>
              <w:t>Number sense</w:t>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2"/>
                <w:szCs w:val="22"/>
              </w:rPr>
              <w:t>Chapter 3 Teaching through problem solving</w:t>
            </w:r>
          </w:p>
          <w:p>
            <w:pPr>
              <w:pStyle w:val="style0"/>
              <w:spacing w:after="200" w:before="0"/>
            </w:pPr>
            <w:r>
              <w:rPr>
                <w:sz w:val="24"/>
                <w:szCs w:val="24"/>
              </w:rPr>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Math Journal &amp; Weekly discussion</w:t>
            </w:r>
          </w:p>
        </w:tc>
      </w:tr>
      <w:tr>
        <w:trPr>
          <w:trHeight w:hRule="atLeast" w:val="1307"/>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2</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10/15</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4"/>
                <w:szCs w:val="24"/>
              </w:rPr>
              <w:t>Constructivist/direct Instruction  Lessons</w:t>
            </w:r>
          </w:p>
          <w:p>
            <w:pPr>
              <w:pStyle w:val="style0"/>
              <w:widowControl/>
              <w:spacing w:after="200" w:before="0" w:line="276" w:lineRule="auto"/>
            </w:pPr>
            <w:r>
              <w:rPr>
                <w:sz w:val="24"/>
                <w:szCs w:val="24"/>
              </w:rPr>
              <w:t>Quantity/Number/Amount</w:t>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2"/>
                <w:szCs w:val="22"/>
              </w:rPr>
              <w:t>Chapter 1 NCTM Standards</w:t>
            </w:r>
          </w:p>
          <w:p>
            <w:pPr>
              <w:pStyle w:val="style0"/>
              <w:widowControl/>
              <w:spacing w:after="200" w:before="0" w:line="276" w:lineRule="auto"/>
            </w:pPr>
            <w:r>
              <w:rPr>
                <w:sz w:val="22"/>
                <w:szCs w:val="22"/>
              </w:rPr>
              <w:t>Chapter 4 Planning in problem solving classroom</w:t>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Math Journal &amp; Weekly discussion</w:t>
            </w:r>
          </w:p>
        </w:tc>
      </w:tr>
      <w:tr>
        <w:trPr>
          <w:trHeight w:hRule="atLeast" w:val="1073"/>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3</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10/22</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4"/>
                <w:szCs w:val="24"/>
              </w:rPr>
              <w:t>Counting and number sense</w:t>
            </w:r>
          </w:p>
          <w:p>
            <w:pPr>
              <w:pStyle w:val="style0"/>
            </w:pPr>
            <w:r>
              <w:rPr>
                <w:sz w:val="24"/>
                <w:szCs w:val="24"/>
              </w:rPr>
            </w:r>
          </w:p>
          <w:p>
            <w:pPr>
              <w:pStyle w:val="style0"/>
              <w:widowControl/>
              <w:spacing w:after="200" w:before="0" w:line="276" w:lineRule="auto"/>
            </w:pPr>
            <w:r>
              <w:rPr>
                <w:sz w:val="24"/>
                <w:szCs w:val="24"/>
              </w:rPr>
              <w:t>Numberline Problems</w:t>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2"/>
                <w:szCs w:val="22"/>
              </w:rPr>
              <w:t xml:space="preserve">Chapter 8 Early number sense </w:t>
            </w:r>
          </w:p>
          <w:p>
            <w:pPr>
              <w:pStyle w:val="style0"/>
            </w:pPr>
            <w:r>
              <w:rPr>
                <w:sz w:val="22"/>
                <w:szCs w:val="22"/>
              </w:rPr>
            </w:r>
          </w:p>
          <w:p>
            <w:pPr>
              <w:pStyle w:val="style0"/>
              <w:widowControl/>
              <w:spacing w:after="200" w:before="0" w:line="276" w:lineRule="auto"/>
            </w:pPr>
            <w:r>
              <w:rPr>
                <w:sz w:val="22"/>
                <w:szCs w:val="22"/>
              </w:rPr>
              <w:t>Chapter 9 meaning for the operations.</w:t>
            </w:r>
            <w:r>
              <w:rPr>
                <w:sz w:val="24"/>
                <w:szCs w:val="24"/>
              </w:rPr>
              <w:t xml:space="preserve"> </w:t>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Math Journal &amp; Weekly discussion</w:t>
            </w:r>
          </w:p>
        </w:tc>
      </w:tr>
      <w:tr>
        <w:trPr>
          <w:trHeight w:hRule="atLeast" w:val="785"/>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4</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10/29</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Place value</w:t>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2"/>
                <w:szCs w:val="22"/>
              </w:rPr>
              <w:t>Chapter 11 Place-value development</w:t>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4"/>
                <w:szCs w:val="24"/>
              </w:rPr>
              <w:t xml:space="preserve">Math Journal &amp; Weekly  discussion </w:t>
            </w:r>
          </w:p>
          <w:p>
            <w:pPr>
              <w:pStyle w:val="style0"/>
            </w:pPr>
            <w:r>
              <w:rPr>
                <w:sz w:val="24"/>
                <w:szCs w:val="24"/>
              </w:rPr>
              <w:t>O&amp;P Classroom Observation UBD Proposal</w:t>
            </w:r>
          </w:p>
          <w:p>
            <w:pPr>
              <w:pStyle w:val="style0"/>
              <w:spacing w:after="200" w:before="0"/>
            </w:pPr>
            <w:r>
              <w:rPr>
                <w:sz w:val="24"/>
                <w:szCs w:val="24"/>
              </w:rPr>
            </w:r>
          </w:p>
        </w:tc>
      </w:tr>
      <w:tr>
        <w:trPr>
          <w:trHeight w:hRule="atLeast" w:val="965"/>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5</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11/5</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Additive  &amp; Multiplicative Operations</w:t>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Chapter 12 Whole number computations</w:t>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4"/>
                <w:szCs w:val="24"/>
              </w:rPr>
              <w:t>Math Journal &amp; Weekly discussion</w:t>
            </w:r>
          </w:p>
          <w:p>
            <w:pPr>
              <w:pStyle w:val="style0"/>
              <w:widowControl/>
              <w:spacing w:after="200" w:before="0" w:line="276" w:lineRule="auto"/>
            </w:pPr>
            <w:r>
              <w:rPr>
                <w:sz w:val="24"/>
                <w:szCs w:val="24"/>
              </w:rPr>
              <w:t>Student Interview</w:t>
            </w:r>
          </w:p>
        </w:tc>
      </w:tr>
      <w:tr>
        <w:trPr>
          <w:trHeight w:hRule="atLeast" w:val="947"/>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6</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2/12</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4"/>
                <w:szCs w:val="24"/>
              </w:rPr>
              <w:t>Measurement  &amp; Data Analysis</w:t>
            </w:r>
          </w:p>
          <w:p>
            <w:pPr>
              <w:pStyle w:val="style0"/>
              <w:spacing w:after="200" w:before="0"/>
            </w:pPr>
            <w:r>
              <w:rPr>
                <w:sz w:val="24"/>
                <w:szCs w:val="24"/>
              </w:rPr>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Chapter 19 &amp; 21</w:t>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Math Journal &amp; Weekly discussion</w:t>
            </w:r>
          </w:p>
        </w:tc>
      </w:tr>
      <w:tr>
        <w:trPr>
          <w:trHeight w:hRule="atLeast" w:val="965"/>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7</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11/19</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 xml:space="preserve">Rational number concepts </w:t>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Chapter 15</w:t>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4"/>
                <w:szCs w:val="24"/>
              </w:rPr>
              <w:t>Math Journal &amp; Weekly discussion</w:t>
            </w:r>
          </w:p>
          <w:p>
            <w:pPr>
              <w:pStyle w:val="style0"/>
              <w:widowControl/>
              <w:spacing w:after="200" w:before="0" w:line="276" w:lineRule="auto"/>
            </w:pPr>
            <w:r>
              <w:rPr>
                <w:sz w:val="24"/>
                <w:szCs w:val="24"/>
              </w:rPr>
              <w:t>UBD lesson Draft Due</w:t>
            </w:r>
          </w:p>
        </w:tc>
      </w:tr>
      <w:tr>
        <w:trPr>
          <w:trHeight w:hRule="atLeast" w:val="722"/>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8</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11/26</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Rational Number Computations</w:t>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Chapter 16</w:t>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Math Journal &amp; Weekly discussion</w:t>
            </w:r>
          </w:p>
        </w:tc>
      </w:tr>
      <w:tr>
        <w:trPr>
          <w:trHeight w:hRule="atLeast" w:val="965"/>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9</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12/3</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Geometry</w:t>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Chapter 20</w:t>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pPr>
            <w:r>
              <w:rPr>
                <w:sz w:val="24"/>
                <w:szCs w:val="24"/>
              </w:rPr>
              <w:t>Math Journal &amp; Weekly discussion</w:t>
            </w:r>
          </w:p>
          <w:p>
            <w:pPr>
              <w:pStyle w:val="style0"/>
              <w:widowControl/>
              <w:spacing w:after="200" w:before="0" w:line="276" w:lineRule="auto"/>
            </w:pPr>
            <w:r>
              <w:rPr>
                <w:sz w:val="24"/>
                <w:szCs w:val="24"/>
              </w:rPr>
              <w:t>O&amp;P Math Discourse</w:t>
            </w:r>
          </w:p>
        </w:tc>
      </w:tr>
      <w:tr>
        <w:trPr>
          <w:trHeight w:hRule="atLeast" w:val="830"/>
          <w:cantSplit w:val="false"/>
        </w:trPr>
        <w:tc>
          <w:tcPr>
            <w:tcW w:type="dxa" w:w="59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10</w:t>
            </w:r>
          </w:p>
        </w:tc>
        <w:tc>
          <w:tcPr>
            <w:tcW w:type="dxa" w:w="108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12/10</w:t>
            </w:r>
          </w:p>
        </w:tc>
        <w:tc>
          <w:tcPr>
            <w:tcW w:type="dxa" w:w="2879"/>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Algebra for all</w:t>
            </w:r>
          </w:p>
        </w:tc>
        <w:tc>
          <w:tcPr>
            <w:tcW w:type="dxa" w:w="3240"/>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2"/>
                <w:szCs w:val="24"/>
              </w:rPr>
              <w:t>Chapter 14</w:t>
            </w:r>
          </w:p>
        </w:tc>
        <w:tc>
          <w:tcPr>
            <w:tcW w:type="dxa" w:w="3002"/>
            <w:tcBorders>
              <w:top w:color="00000A" w:space="0" w:sz="4" w:val="single"/>
              <w:left w:color="00000A" w:space="0" w:sz="4" w:val="single"/>
              <w:bottom w:color="00000A" w:space="0" w:sz="4" w:val="single"/>
              <w:right w:color="00000A" w:space="0" w:sz="4" w:val="single"/>
            </w:tcBorders>
            <w:shd w:fill="auto" w:val="clear"/>
            <w:tcMar>
              <w:top w:type="dxa" w:w="0"/>
              <w:left w:type="dxa" w:w="108"/>
              <w:bottom w:type="dxa" w:w="0"/>
              <w:right w:type="dxa" w:w="108"/>
            </w:tcMar>
          </w:tcPr>
          <w:p>
            <w:pPr>
              <w:pStyle w:val="style0"/>
              <w:widowControl/>
              <w:spacing w:after="200" w:before="0" w:line="276" w:lineRule="auto"/>
            </w:pPr>
            <w:r>
              <w:rPr>
                <w:sz w:val="24"/>
                <w:szCs w:val="24"/>
              </w:rPr>
              <w:t>Math Journal &amp; Weekly discussion UBD Lesson plan Due</w:t>
            </w:r>
          </w:p>
        </w:tc>
      </w:tr>
    </w:tbl>
    <w:p>
      <w:pPr>
        <w:pStyle w:val="style0"/>
      </w:pPr>
      <w:r>
        <w:rPr/>
        <w:t>Note:  This schedule is tentative and is subject to change.  Changes will be announced in class or via email.</w:t>
        <w:tab/>
      </w:r>
    </w:p>
    <w:p>
      <w:pPr>
        <w:pStyle w:val="style0"/>
      </w:pPr>
      <w:r>
        <w:rPr/>
      </w:r>
    </w:p>
    <w:p>
      <w:pPr>
        <w:pStyle w:val="style0"/>
        <w:pageBreakBefore/>
      </w:pPr>
      <w:r>
        <w:rPr>
          <w:rFonts w:ascii="Arial" w:cs="Arial" w:eastAsia="MS Mincho" w:hAnsi="Arial"/>
          <w:color w:val="000000"/>
          <w:sz w:val="24"/>
          <w:szCs w:val="24"/>
        </w:rPr>
      </w:r>
    </w:p>
    <w:p>
      <w:pPr>
        <w:pStyle w:val="style0"/>
        <w:ind w:hanging="0" w:left="720" w:right="0"/>
      </w:pPr>
      <w:r>
        <w:rPr>
          <w:rFonts w:eastAsia="MS Mincho"/>
          <w:color w:val="000000"/>
          <w:sz w:val="24"/>
          <w:szCs w:val="24"/>
        </w:rPr>
        <w:t>Education Division Attendance Policy</w:t>
      </w:r>
    </w:p>
    <w:p>
      <w:pPr>
        <w:pStyle w:val="style0"/>
        <w:ind w:hanging="0" w:left="720" w:right="0"/>
      </w:pPr>
      <w:r>
        <w:rPr>
          <w:rFonts w:eastAsia="MS Mincho"/>
          <w:color w:val="000000"/>
          <w:sz w:val="24"/>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1. Excused Absences.</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a. Accelerated Semester Classes (10 classes): More than one absence lowers grade one letter. Missing more than two classes results in failure or withdrawal.</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b. Undergraduate Day Courses TTh (30 classes): More than 3 absences lowers grade one letter. Missing more than six classes results in failure or withdrawal.</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c. Undergraduate Day Courses MWF (45 classes): More than 4 absences lowers grade one letter. Missing more than nine classes results in failure or withdrawal.</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2.2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2.3 Online courses and online portion of hybrid courses. The instructor will specify and enforce expectations for online participation and receipt of assignments appropriate to the design of the course.</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3. Additional Notes</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3.1 If a student does not logon to an online or hybrid course for the first two weeks, the instructor should notify the Dean and the student will be withdrawn from the course.</w:t>
      </w:r>
    </w:p>
    <w:p>
      <w:pPr>
        <w:pStyle w:val="style0"/>
        <w:ind w:hanging="0" w:left="720" w:right="0"/>
      </w:pPr>
      <w:r>
        <w:rPr>
          <w:rFonts w:eastAsia="MS Mincho"/>
          <w:color w:val="000000"/>
          <w:sz w:val="24"/>
          <w:szCs w:val="24"/>
        </w:rPr>
      </w:r>
    </w:p>
    <w:p>
      <w:pPr>
        <w:pStyle w:val="style0"/>
        <w:ind w:hanging="0" w:left="720" w:right="0"/>
      </w:pPr>
      <w:r>
        <w:rPr>
          <w:rFonts w:eastAsia="MS Mincho"/>
          <w:color w:val="000000"/>
          <w:sz w:val="24"/>
          <w:szCs w:val="24"/>
        </w:rPr>
        <w:t>3.2 Any student who stops attending an on-ground course or stops participating in an online course without officially withdrawing may receive a failing grade.</w:t>
      </w:r>
    </w:p>
    <w:p>
      <w:pPr>
        <w:pStyle w:val="style0"/>
      </w:pPr>
      <w:r>
        <w:rPr>
          <w:rFonts w:eastAsia="MS Mincho"/>
          <w:color w:val="000000"/>
          <w:sz w:val="24"/>
          <w:szCs w:val="24"/>
        </w:rPr>
      </w:r>
    </w:p>
    <w:p>
      <w:pPr>
        <w:pStyle w:val="style0"/>
      </w:pPr>
      <w:r>
        <w:rPr>
          <w:rFonts w:eastAsia="MS Mincho"/>
          <w:color w:val="000000"/>
          <w:sz w:val="24"/>
          <w:szCs w:val="24"/>
        </w:rPr>
      </w:r>
    </w:p>
    <w:p>
      <w:pPr>
        <w:pStyle w:val="style0"/>
      </w:pPr>
      <w:r>
        <w:rPr>
          <w:rFonts w:eastAsia="MS Mincho"/>
          <w:color w:val="000000"/>
          <w:sz w:val="24"/>
          <w:szCs w:val="24"/>
        </w:rPr>
      </w:r>
    </w:p>
    <w:p>
      <w:pPr>
        <w:pStyle w:val="style0"/>
        <w:ind w:hanging="0" w:left="360" w:right="0"/>
      </w:pPr>
      <w:r>
        <w:rPr>
          <w:rFonts w:eastAsia="MS Mincho"/>
          <w:color w:val="000000"/>
          <w:sz w:val="24"/>
          <w:szCs w:val="24"/>
        </w:rPr>
      </w:r>
    </w:p>
    <w:p>
      <w:pPr>
        <w:pStyle w:val="style0"/>
        <w:numPr>
          <w:ilvl w:val="0"/>
          <w:numId w:val="6"/>
        </w:numPr>
      </w:pPr>
      <w:r>
        <w:rPr>
          <w:rFonts w:eastAsia="MS Mincho"/>
          <w:color w:val="000000"/>
          <w:sz w:val="24"/>
          <w:szCs w:val="24"/>
        </w:rPr>
        <w:t xml:space="preserve">Education Division Incomplete Grade Policy </w:t>
      </w:r>
    </w:p>
    <w:p>
      <w:pPr>
        <w:pStyle w:val="style0"/>
        <w:ind w:hanging="0" w:left="360" w:right="0"/>
      </w:pPr>
      <w:r>
        <w:rPr>
          <w:rFonts w:eastAsia="MS Mincho"/>
          <w:color w:val="000000"/>
          <w:sz w:val="24"/>
          <w:szCs w:val="24"/>
        </w:rPr>
      </w:r>
    </w:p>
    <w:p>
      <w:pPr>
        <w:pStyle w:val="style0"/>
        <w:numPr>
          <w:ilvl w:val="0"/>
          <w:numId w:val="9"/>
        </w:numPr>
      </w:pPr>
      <w:r>
        <w:rPr>
          <w:rFonts w:eastAsia="MS Mincho"/>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pPr>
        <w:pStyle w:val="style0"/>
      </w:pPr>
      <w:r>
        <w:rPr>
          <w:rFonts w:eastAsia="MS Mincho"/>
          <w:color w:val="000000"/>
          <w:sz w:val="24"/>
          <w:szCs w:val="24"/>
        </w:rPr>
      </w:r>
    </w:p>
    <w:p>
      <w:pPr>
        <w:pStyle w:val="style0"/>
        <w:numPr>
          <w:ilvl w:val="0"/>
          <w:numId w:val="6"/>
        </w:numPr>
      </w:pPr>
      <w:r>
        <w:rPr>
          <w:rFonts w:eastAsia="MS Mincho"/>
          <w:bCs/>
          <w:color w:val="000000"/>
          <w:sz w:val="24"/>
          <w:szCs w:val="24"/>
        </w:rPr>
        <w:t>Signature Assignment</w:t>
      </w:r>
    </w:p>
    <w:p>
      <w:pPr>
        <w:pStyle w:val="style0"/>
        <w:numPr>
          <w:ilvl w:val="0"/>
          <w:numId w:val="9"/>
        </w:numPr>
      </w:pPr>
      <w:r>
        <w:rPr>
          <w:rFonts w:eastAsia="MS Mincho"/>
          <w:color w:val="000000"/>
          <w:sz w:val="24"/>
          <w:szCs w:val="24"/>
        </w:rPr>
        <w:t>To document teacher candidates’ progress toward the mastery of the requisite knowledge, skills and dispositions for teacher licensure, all required courses have a signature assignment. Signature assignments are accessed via a rubric linked to the relevant program learning outcome(s). All signature assignments must be submitted on LiveText, where candidates may view their assessment results and any comments from the instructor.</w:t>
      </w:r>
    </w:p>
    <w:p>
      <w:pPr>
        <w:pStyle w:val="style0"/>
      </w:pPr>
      <w:r>
        <w:rPr>
          <w:rFonts w:eastAsia="MS Mincho"/>
          <w:color w:val="000000"/>
          <w:sz w:val="24"/>
          <w:szCs w:val="24"/>
        </w:rPr>
      </w:r>
    </w:p>
    <w:p>
      <w:pPr>
        <w:pStyle w:val="style0"/>
        <w:ind w:hanging="0" w:left="1080" w:right="0"/>
      </w:pPr>
      <w:r>
        <w:rPr>
          <w:rFonts w:eastAsia="MS Mincho"/>
          <w:color w:val="000000"/>
          <w:sz w:val="24"/>
          <w:szCs w:val="24"/>
        </w:rPr>
      </w:r>
    </w:p>
    <w:p>
      <w:pPr>
        <w:pStyle w:val="style0"/>
        <w:numPr>
          <w:ilvl w:val="0"/>
          <w:numId w:val="6"/>
        </w:numPr>
      </w:pPr>
      <w:r>
        <w:rPr>
          <w:rFonts w:eastAsia="MS Mincho"/>
          <w:color w:val="000000"/>
          <w:sz w:val="24"/>
          <w:szCs w:val="24"/>
        </w:rPr>
        <w:t>Academic Honesty Statement</w:t>
      </w:r>
    </w:p>
    <w:p>
      <w:pPr>
        <w:pStyle w:val="style0"/>
        <w:numPr>
          <w:ilvl w:val="0"/>
          <w:numId w:val="9"/>
        </w:numPr>
      </w:pPr>
      <w:r>
        <w:rPr>
          <w:rFonts w:eastAsia="MS Mincho"/>
          <w:color w:val="000000"/>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pPr>
        <w:pStyle w:val="style0"/>
        <w:numPr>
          <w:ilvl w:val="0"/>
          <w:numId w:val="9"/>
        </w:numPr>
      </w:pPr>
      <w:r>
        <w:rPr>
          <w:rFonts w:eastAsia="MS Mincho"/>
          <w:color w:val="000000"/>
          <w:sz w:val="24"/>
          <w:szCs w:val="24"/>
        </w:rPr>
        <w:t>In either case, the Divisional Dean or Graduate Program Director may choose to 1) resolve the matter through a meeting with both the student and the faculty member, or 2) refer the matter to the Provost.  The findings, in either case are final.</w:t>
      </w:r>
    </w:p>
    <w:p>
      <w:pPr>
        <w:pStyle w:val="style0"/>
        <w:numPr>
          <w:ilvl w:val="0"/>
          <w:numId w:val="9"/>
        </w:numPr>
      </w:pPr>
      <w:r>
        <w:rPr>
          <w:rFonts w:eastAsia="MS Mincho"/>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pPr>
        <w:pStyle w:val="style0"/>
        <w:numPr>
          <w:ilvl w:val="0"/>
          <w:numId w:val="9"/>
        </w:numPr>
      </w:pPr>
      <w:r>
        <w:rPr>
          <w:rFonts w:eastAsia="MS Mincho"/>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pPr>
        <w:pStyle w:val="style0"/>
        <w:ind w:hanging="0" w:left="360" w:right="0"/>
      </w:pPr>
      <w:r>
        <w:rPr>
          <w:rFonts w:eastAsia="MS Mincho"/>
          <w:color w:val="000000"/>
          <w:sz w:val="24"/>
          <w:szCs w:val="24"/>
        </w:rPr>
      </w:r>
    </w:p>
    <w:p>
      <w:pPr>
        <w:pStyle w:val="style0"/>
      </w:pPr>
      <w:r>
        <w:rPr>
          <w:rFonts w:eastAsia="MS Mincho"/>
          <w:color w:val="000000"/>
          <w:sz w:val="24"/>
          <w:szCs w:val="24"/>
        </w:rPr>
      </w:r>
    </w:p>
    <w:p>
      <w:pPr>
        <w:pStyle w:val="style0"/>
        <w:numPr>
          <w:ilvl w:val="0"/>
          <w:numId w:val="6"/>
        </w:numPr>
      </w:pPr>
      <w:r>
        <w:rPr>
          <w:rFonts w:eastAsia="MS Mincho"/>
          <w:color w:val="000000"/>
          <w:sz w:val="24"/>
          <w:szCs w:val="24"/>
        </w:rPr>
        <w:t>Disability and Full Inclusion Statement</w:t>
      </w:r>
    </w:p>
    <w:p>
      <w:pPr>
        <w:pStyle w:val="style0"/>
        <w:numPr>
          <w:ilvl w:val="0"/>
          <w:numId w:val="11"/>
        </w:numPr>
      </w:pPr>
      <w:r>
        <w:rPr>
          <w:rFonts w:eastAsia="MS Mincho"/>
          <w:color w:val="000000"/>
          <w:sz w:val="24"/>
          <w:szCs w:val="24"/>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5">
        <w:r>
          <w:rPr>
            <w:rStyle w:val="style16"/>
            <w:rFonts w:eastAsia="MS Mincho"/>
            <w:color w:val="000000"/>
            <w:sz w:val="24"/>
            <w:szCs w:val="24"/>
          </w:rPr>
          <w:t>jyasuhar@chaminade.edu</w:t>
        </w:r>
      </w:hyperlink>
      <w:r>
        <w:rPr>
          <w:rFonts w:eastAsia="MS Mincho"/>
          <w:color w:val="000000"/>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eastAsia="MS Mincho"/>
          <w:iCs/>
          <w:color w:val="000000"/>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eastAsia="MS Mincho"/>
          <w:color w:val="000000"/>
          <w:sz w:val="24"/>
          <w:szCs w:val="24"/>
        </w:rPr>
        <w:t xml:space="preserve"> </w:t>
      </w:r>
    </w:p>
    <w:p>
      <w:pPr>
        <w:pStyle w:val="style0"/>
        <w:ind w:hanging="0" w:left="720" w:right="0"/>
      </w:pPr>
      <w:r>
        <w:rPr>
          <w:rFonts w:eastAsia="MS Mincho"/>
          <w:color w:val="000000"/>
          <w:sz w:val="24"/>
          <w:szCs w:val="24"/>
        </w:rPr>
      </w:r>
    </w:p>
    <w:p>
      <w:pPr>
        <w:pStyle w:val="style0"/>
      </w:pPr>
      <w:r>
        <w:rPr>
          <w:rFonts w:eastAsia="MS Mincho"/>
          <w:color w:val="000000"/>
          <w:sz w:val="24"/>
          <w:szCs w:val="24"/>
        </w:rPr>
      </w:r>
    </w:p>
    <w:p>
      <w:pPr>
        <w:pStyle w:val="style0"/>
        <w:numPr>
          <w:ilvl w:val="0"/>
          <w:numId w:val="6"/>
        </w:numPr>
      </w:pPr>
      <w:r>
        <w:rPr>
          <w:rFonts w:eastAsia="MS Mincho"/>
          <w:color w:val="000000"/>
          <w:sz w:val="24"/>
          <w:szCs w:val="24"/>
        </w:rPr>
        <w:t>Technical Support</w:t>
      </w:r>
    </w:p>
    <w:p>
      <w:pPr>
        <w:pStyle w:val="style0"/>
        <w:numPr>
          <w:ilvl w:val="0"/>
          <w:numId w:val="11"/>
        </w:numPr>
      </w:pPr>
      <w:r>
        <w:rPr>
          <w:rFonts w:eastAsia="MS Mincho"/>
          <w:color w:val="000000"/>
          <w:sz w:val="24"/>
          <w:szCs w:val="24"/>
        </w:rPr>
        <w:t xml:space="preserve">For technical questions contact the Chaminade eCollege helpdesk    </w:t>
      </w:r>
      <w:hyperlink r:id="rId6">
        <w:r>
          <w:rPr>
            <w:rStyle w:val="style16"/>
            <w:rFonts w:eastAsia="MS Mincho"/>
            <w:color w:val="000000"/>
            <w:sz w:val="24"/>
            <w:szCs w:val="24"/>
            <w:u w:val="single"/>
          </w:rPr>
          <w:t>helpdesk@chaminade.ecollege.com</w:t>
        </w:r>
      </w:hyperlink>
      <w:r>
        <w:rPr>
          <w:rFonts w:eastAsia="MS Mincho"/>
          <w:color w:val="000000"/>
          <w:sz w:val="24"/>
          <w:szCs w:val="24"/>
        </w:rPr>
        <w:t xml:space="preserve">, or call toll free (866) 647-0654.   </w:t>
      </w:r>
    </w:p>
    <w:p>
      <w:pPr>
        <w:pStyle w:val="style0"/>
        <w:numPr>
          <w:ilvl w:val="0"/>
          <w:numId w:val="11"/>
        </w:numPr>
      </w:pPr>
      <w:r>
        <w:rPr>
          <w:rFonts w:eastAsia="MS Mincho"/>
          <w:color w:val="000000"/>
          <w:sz w:val="24"/>
          <w:szCs w:val="24"/>
        </w:rPr>
        <w:t xml:space="preserve"> </w:t>
      </w:r>
      <w:r>
        <w:rPr>
          <w:rFonts w:eastAsia="MS Mincho"/>
          <w:color w:val="000000"/>
          <w:sz w:val="24"/>
          <w:szCs w:val="24"/>
        </w:rPr>
        <w:t>eCollege Account Support</w:t>
      </w:r>
    </w:p>
    <w:p>
      <w:pPr>
        <w:pStyle w:val="style0"/>
        <w:numPr>
          <w:ilvl w:val="0"/>
          <w:numId w:val="11"/>
        </w:numPr>
      </w:pPr>
      <w:r>
        <w:rPr>
          <w:rFonts w:eastAsia="MS Mincho"/>
          <w:color w:val="000000"/>
          <w:sz w:val="24"/>
          <w:szCs w:val="24"/>
        </w:rPr>
        <w:t xml:space="preserve">Call739-8327 or email </w:t>
      </w:r>
      <w:hyperlink r:id="rId7">
        <w:r>
          <w:rPr>
            <w:rStyle w:val="style16"/>
            <w:rFonts w:eastAsia="MS Mincho"/>
            <w:color w:val="000000"/>
            <w:sz w:val="24"/>
            <w:szCs w:val="24"/>
            <w:u w:val="single"/>
          </w:rPr>
          <w:t>jnakason@chaminade.edu</w:t>
        </w:r>
      </w:hyperlink>
    </w:p>
    <w:p>
      <w:pPr>
        <w:pStyle w:val="style0"/>
        <w:numPr>
          <w:ilvl w:val="0"/>
          <w:numId w:val="11"/>
        </w:numPr>
      </w:pPr>
      <w:r>
        <w:rPr>
          <w:rFonts w:eastAsia="MS Mincho"/>
          <w:color w:val="000000"/>
          <w:sz w:val="24"/>
          <w:szCs w:val="24"/>
        </w:rPr>
        <w:t>LiveText Support</w:t>
      </w:r>
    </w:p>
    <w:p>
      <w:pPr>
        <w:pStyle w:val="style0"/>
        <w:numPr>
          <w:ilvl w:val="0"/>
          <w:numId w:val="11"/>
        </w:numPr>
        <w:shd w:fill="FFFFFF" w:val="clear"/>
        <w:spacing w:after="480" w:before="0" w:line="160" w:lineRule="atLeast"/>
      </w:pPr>
      <w:hyperlink r:id="rId8">
        <w:r>
          <w:rPr>
            <w:rStyle w:val="style16"/>
            <w:rFonts w:eastAsia="MS Mincho"/>
            <w:color w:val="000000"/>
            <w:sz w:val="24"/>
            <w:szCs w:val="24"/>
          </w:rPr>
          <w:t>https://www.livetext.com/overview/student-overview.html</w:t>
        </w:r>
      </w:hyperlink>
      <w:r>
        <w:rPr>
          <w:rFonts w:eastAsia="MS Mincho"/>
          <w:color w:val="000000"/>
          <w:sz w:val="24"/>
          <w:szCs w:val="24"/>
        </w:rPr>
        <w:t>; Phone: 1-866-LiveText (1-866-548-3839); Technical Support Hours Mon - Thurs: 7am to 9pm (CT), Friday: 7am to 6pm (CT), &amp; Sunday: 12pm to 9pm (CT).</w:t>
      </w:r>
    </w:p>
    <w:p>
      <w:pPr>
        <w:pStyle w:val="style0"/>
        <w:numPr>
          <w:ilvl w:val="0"/>
          <w:numId w:val="6"/>
        </w:numPr>
      </w:pPr>
      <w:r>
        <w:rPr>
          <w:rFonts w:eastAsia="MS Mincho"/>
          <w:color w:val="000000"/>
          <w:sz w:val="24"/>
          <w:szCs w:val="24"/>
        </w:rPr>
        <w:t>KSD Referrals</w:t>
      </w:r>
      <w:r>
        <w:rPr>
          <w:rFonts w:eastAsia="MS Mincho"/>
          <w:bCs/>
          <w:color w:val="000000"/>
          <w:sz w:val="24"/>
          <w:szCs w:val="24"/>
        </w:rPr>
        <w:t xml:space="preserve"> </w:t>
      </w:r>
    </w:p>
    <w:p>
      <w:pPr>
        <w:pStyle w:val="style0"/>
        <w:numPr>
          <w:ilvl w:val="0"/>
          <w:numId w:val="11"/>
        </w:numPr>
      </w:pPr>
      <w:r>
        <w:rPr>
          <w:rFonts w:eastAsia="MS Mincho"/>
          <w:sz w:val="24"/>
          <w:szCs w:val="24"/>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pPr>
        <w:pStyle w:val="style0"/>
        <w:numPr>
          <w:ilvl w:val="0"/>
          <w:numId w:val="11"/>
        </w:numPr>
      </w:pPr>
      <w:r>
        <w:rPr>
          <w:rFonts w:eastAsia="MS Mincho"/>
          <w:sz w:val="24"/>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pPr>
        <w:pStyle w:val="style0"/>
      </w:pPr>
      <w:r>
        <w:rPr>
          <w:rFonts w:eastAsia="MS Mincho"/>
          <w:bCs/>
          <w:color w:val="000000"/>
          <w:sz w:val="24"/>
          <w:szCs w:val="24"/>
        </w:rPr>
      </w:r>
    </w:p>
    <w:p>
      <w:pPr>
        <w:pStyle w:val="style0"/>
        <w:numPr>
          <w:ilvl w:val="0"/>
          <w:numId w:val="6"/>
        </w:numPr>
      </w:pPr>
      <w:r>
        <w:rPr>
          <w:rFonts w:eastAsia="MS Mincho"/>
          <w:bCs/>
          <w:color w:val="000000"/>
          <w:sz w:val="24"/>
          <w:szCs w:val="24"/>
        </w:rPr>
        <w:t>Syllabus Change Policy</w:t>
      </w:r>
    </w:p>
    <w:p>
      <w:pPr>
        <w:pStyle w:val="style0"/>
        <w:numPr>
          <w:ilvl w:val="0"/>
          <w:numId w:val="10"/>
        </w:numPr>
      </w:pPr>
      <w:r>
        <w:rPr>
          <w:rFonts w:eastAsia="MS Mincho"/>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pPr>
        <w:pStyle w:val="style0"/>
      </w:pPr>
      <w:r>
        <w:rPr>
          <w:rFonts w:ascii="Arial" w:cs="Arial" w:eastAsia="MS Mincho" w:hAnsi="Arial"/>
          <w:color w:val="000000"/>
          <w:sz w:val="24"/>
          <w:szCs w:val="24"/>
        </w:rPr>
      </w:r>
    </w:p>
    <w:p>
      <w:pPr>
        <w:pStyle w:val="style0"/>
        <w:ind w:hanging="0" w:left="360" w:right="0"/>
      </w:pPr>
      <w:r>
        <w:rPr>
          <w:rFonts w:ascii="Arial" w:cs="Arial" w:eastAsia="MS Mincho" w:hAnsi="Arial"/>
          <w:color w:val="000000"/>
          <w:sz w:val="24"/>
          <w:szCs w:val="24"/>
        </w:rPr>
      </w:r>
    </w:p>
    <w:p>
      <w:pPr>
        <w:pStyle w:val="style0"/>
        <w:widowControl/>
        <w:spacing w:after="200" w:before="0" w:line="276" w:lineRule="auto"/>
      </w:pPr>
      <w:r>
        <w:rPr/>
      </w:r>
    </w:p>
    <w:sectPr>
      <w:headerReference r:id="rId9" w:type="default"/>
      <w:footerReference r:id="rId10" w:type="default"/>
      <w:type w:val="nextPage"/>
      <w:pgSz w:h="15840" w:w="12240"/>
      <w:pgMar w:bottom="1440" w:footer="720" w:gutter="0" w:header="720" w:left="1080" w:right="1080" w:top="1440"/>
      <w:pgNumType w:fmt="decimal"/>
      <w:formProt w:val="false"/>
      <w:textDirection w:val="lrTb"/>
      <w:docGrid w:charSpace="0"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Courier New">
    <w:charset w:val="80"/>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3"/>
      <w:jc w:val="center"/>
    </w:pPr>
    <w:r>
      <w:rPr/>
      <w:fldChar w:fldCharType="begin"/>
    </w:r>
    <w:r>
      <w:instrText> PAGE </w:instrText>
    </w:r>
    <w:r>
      <w:fldChar w:fldCharType="separate"/>
    </w:r>
    <w:r>
      <w:t>20</w:t>
    </w:r>
    <w:r>
      <w:fldChar w:fldCharType="end"/>
    </w:r>
  </w:p>
  <w:p>
    <w:pPr>
      <w:pStyle w:val="style33"/>
      <w:suppressLineNumbers/>
      <w:tabs>
        <w:tab w:leader="none" w:pos="4320" w:val="center"/>
        <w:tab w:leader="none" w:pos="8640" w:val="right"/>
      </w:tabs>
      <w:spacing w:after="200" w:before="0"/>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1"/>
    </w:pPr>
    <w:r>
      <w:rPr>
        <w:szCs w:val="24"/>
      </w:rPr>
    </w:r>
  </w:p>
  <w:p>
    <w:pPr>
      <w:pStyle w:val="style1"/>
      <w:jc w:val="center"/>
    </w:pPr>
    <w:r>
      <w:rPr>
        <w:szCs w:val="24"/>
      </w:rPr>
      <w:t>CHAMINADE UNIVERSITY OF HONOLULU</w:t>
    </w:r>
  </w:p>
  <w:p>
    <w:pPr>
      <w:pStyle w:val="style0"/>
      <w:jc w:val="center"/>
    </w:pPr>
    <w:r>
      <w:rPr>
        <w:b/>
        <w:sz w:val="24"/>
        <w:szCs w:val="24"/>
      </w:rPr>
      <w:t>EDUCATION LICENSURE COURSE SYLLABUS</w:t>
    </w:r>
  </w:p>
  <w:p>
    <w:pPr>
      <w:pStyle w:val="style0"/>
      <w:jc w:val="center"/>
    </w:pPr>
    <w:r>
      <w:rPr>
        <w:b/>
        <w:sz w:val="24"/>
        <w:szCs w:val="24"/>
      </w:rPr>
      <w:t>EDUC 614 ELEMENTARY MATH METHODS</w:t>
    </w:r>
  </w:p>
  <w:p>
    <w:pPr>
      <w:pStyle w:val="style0"/>
      <w:jc w:val="center"/>
    </w:pPr>
    <w:r>
      <w:rPr>
        <w:b/>
        <w:sz w:val="24"/>
        <w:szCs w:val="24"/>
      </w:rPr>
      <w:t>Fall 2012</w:t>
    </w:r>
  </w:p>
  <w:p>
    <w:pPr>
      <w:pStyle w:val="style32"/>
      <w:spacing w:after="200" w:before="0"/>
      <w:jc w:val="center"/>
    </w:pPr>
    <w:r>
      <w:rPr/>
    </w:r>
  </w:p>
</w:hdr>
</file>

<file path=word/numbering.xml><?xml version="1.0" encoding="utf-8"?>
<w:numbering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abstractNum w:abstractNumId="2">
    <w:lvl w:ilvl="0">
      <w:start w:val="1"/>
      <w:numFmt w:val="decimal"/>
      <w:lvlText w:val="%1."/>
      <w:lvlJc w:val="left"/>
      <w:pPr>
        <w:tabs>
          <w:tab w:pos="360" w:val="num"/>
        </w:tabs>
        <w:ind w:hanging="360" w:left="360"/>
      </w:pPr>
    </w:lvl>
    <w:lvl w:ilvl="1">
      <w:start w:val="1"/>
      <w:numFmt w:val="lowerLetter"/>
      <w:lvlText w:val="%2."/>
      <w:lvlJc w:val="left"/>
      <w:pPr>
        <w:tabs>
          <w:tab w:pos="1080" w:val="num"/>
        </w:tabs>
        <w:ind w:hanging="360" w:left="1080"/>
      </w:pPr>
    </w:lvl>
    <w:lvl w:ilvl="2">
      <w:start w:val="1"/>
      <w:numFmt w:val="lowerRoman"/>
      <w:lvlText w:val="%3."/>
      <w:lvlJc w:val="right"/>
      <w:pPr>
        <w:tabs>
          <w:tab w:pos="1800" w:val="num"/>
        </w:tabs>
        <w:ind w:hanging="180" w:left="1800"/>
      </w:pPr>
    </w:lvl>
    <w:lvl w:ilvl="3">
      <w:start w:val="1"/>
      <w:numFmt w:val="decimal"/>
      <w:lvlText w:val="%4."/>
      <w:lvlJc w:val="left"/>
      <w:pPr>
        <w:tabs>
          <w:tab w:pos="2520" w:val="num"/>
        </w:tabs>
        <w:ind w:hanging="360" w:left="2520"/>
      </w:pPr>
    </w:lvl>
    <w:lvl w:ilvl="4">
      <w:start w:val="1"/>
      <w:numFmt w:val="lowerLetter"/>
      <w:lvlText w:val="%5."/>
      <w:lvlJc w:val="left"/>
      <w:pPr>
        <w:tabs>
          <w:tab w:pos="3240" w:val="num"/>
        </w:tabs>
        <w:ind w:hanging="360" w:left="3240"/>
      </w:pPr>
    </w:lvl>
    <w:lvl w:ilvl="5">
      <w:start w:val="1"/>
      <w:numFmt w:val="lowerRoman"/>
      <w:lvlText w:val="%6."/>
      <w:lvlJc w:val="right"/>
      <w:pPr>
        <w:tabs>
          <w:tab w:pos="3960" w:val="num"/>
        </w:tabs>
        <w:ind w:hanging="180" w:left="3960"/>
      </w:pPr>
    </w:lvl>
    <w:lvl w:ilvl="6">
      <w:start w:val="1"/>
      <w:numFmt w:val="decimal"/>
      <w:lvlText w:val="%7."/>
      <w:lvlJc w:val="left"/>
      <w:pPr>
        <w:tabs>
          <w:tab w:pos="4680" w:val="num"/>
        </w:tabs>
        <w:ind w:hanging="360" w:left="4680"/>
      </w:pPr>
    </w:lvl>
    <w:lvl w:ilvl="7">
      <w:start w:val="1"/>
      <w:numFmt w:val="lowerLetter"/>
      <w:lvlText w:val="%8."/>
      <w:lvlJc w:val="left"/>
      <w:pPr>
        <w:tabs>
          <w:tab w:pos="5400" w:val="num"/>
        </w:tabs>
        <w:ind w:hanging="360" w:left="5400"/>
      </w:pPr>
    </w:lvl>
    <w:lvl w:ilvl="8">
      <w:start w:val="1"/>
      <w:numFmt w:val="lowerRoman"/>
      <w:lvlText w:val="%9."/>
      <w:lvlJc w:val="right"/>
      <w:pPr>
        <w:tabs>
          <w:tab w:pos="6120" w:val="num"/>
        </w:tabs>
        <w:ind w:hanging="180" w:left="6120"/>
      </w:pPr>
    </w:lvl>
  </w:abstractNum>
  <w:abstractNum w:abstractNumId="3">
    <w:lvl w:ilvl="0">
      <w:start w:val="1"/>
      <w:numFmt w:val="decimal"/>
      <w:lvlText w:val="%1."/>
      <w:lvlJc w:val="left"/>
      <w:pPr>
        <w:tabs>
          <w:tab w:pos="720" w:val="num"/>
        </w:tabs>
        <w:ind w:hanging="360" w:left="720"/>
      </w:pPr>
    </w:lvl>
    <w:lvl w:ilvl="1">
      <w:start w:val="1"/>
      <w:numFmt w:val="decimal"/>
      <w:lvlText w:val="%2."/>
      <w:lvlJc w:val="left"/>
      <w:pPr>
        <w:tabs>
          <w:tab w:pos="1440" w:val="num"/>
        </w:tabs>
        <w:ind w:hanging="360" w:left="1440"/>
      </w:pPr>
    </w:lvl>
    <w:lvl w:ilvl="2">
      <w:start w:val="1"/>
      <w:numFmt w:val="decimal"/>
      <w:lvlText w:val="%3."/>
      <w:lvlJc w:val="left"/>
      <w:pPr>
        <w:tabs>
          <w:tab w:pos="2160" w:val="num"/>
        </w:tabs>
        <w:ind w:hanging="360" w:left="2160"/>
      </w:pPr>
    </w:lvl>
    <w:lvl w:ilvl="3">
      <w:start w:val="1"/>
      <w:numFmt w:val="decimal"/>
      <w:lvlText w:val="%4."/>
      <w:lvlJc w:val="left"/>
      <w:pPr>
        <w:tabs>
          <w:tab w:pos="2880" w:val="num"/>
        </w:tabs>
        <w:ind w:hanging="360" w:left="2880"/>
      </w:pPr>
    </w:lvl>
    <w:lvl w:ilvl="4">
      <w:start w:val="1"/>
      <w:numFmt w:val="decimal"/>
      <w:lvlText w:val="%5."/>
      <w:lvlJc w:val="left"/>
      <w:pPr>
        <w:tabs>
          <w:tab w:pos="3600" w:val="num"/>
        </w:tabs>
        <w:ind w:hanging="360" w:left="3600"/>
      </w:pPr>
    </w:lvl>
    <w:lvl w:ilvl="5">
      <w:start w:val="1"/>
      <w:numFmt w:val="decimal"/>
      <w:lvlText w:val="%6."/>
      <w:lvlJc w:val="left"/>
      <w:pPr>
        <w:tabs>
          <w:tab w:pos="4320" w:val="num"/>
        </w:tabs>
        <w:ind w:hanging="360" w:left="4320"/>
      </w:pPr>
    </w:lvl>
    <w:lvl w:ilvl="6">
      <w:start w:val="1"/>
      <w:numFmt w:val="decimal"/>
      <w:lvlText w:val="%7."/>
      <w:lvlJc w:val="left"/>
      <w:pPr>
        <w:tabs>
          <w:tab w:pos="5040" w:val="num"/>
        </w:tabs>
        <w:ind w:hanging="360" w:left="5040"/>
      </w:pPr>
    </w:lvl>
    <w:lvl w:ilvl="7">
      <w:start w:val="1"/>
      <w:numFmt w:val="decimal"/>
      <w:lvlText w:val="%8."/>
      <w:lvlJc w:val="left"/>
      <w:pPr>
        <w:tabs>
          <w:tab w:pos="5760" w:val="num"/>
        </w:tabs>
        <w:ind w:hanging="360" w:left="5760"/>
      </w:pPr>
    </w:lvl>
    <w:lvl w:ilvl="8">
      <w:start w:val="1"/>
      <w:numFmt w:val="decimal"/>
      <w:lvlText w:val="%9."/>
      <w:lvlJc w:val="left"/>
      <w:pPr>
        <w:tabs>
          <w:tab w:pos="6480" w:val="num"/>
        </w:tabs>
        <w:ind w:hanging="360" w:left="6480"/>
      </w:pPr>
    </w:lvl>
  </w:abstractNum>
  <w:abstractNum w:abstractNumId="4">
    <w:lvl w:ilvl="0">
      <w:start w:val="1"/>
      <w:numFmt w:val="decimal"/>
      <w:lvlText w:val="%1."/>
      <w:lvlJc w:val="left"/>
      <w:pPr>
        <w:tabs>
          <w:tab w:pos="720" w:val="num"/>
        </w:tabs>
        <w:ind w:hanging="360" w:left="720"/>
      </w:pPr>
    </w:lvl>
    <w:lvl w:ilvl="1">
      <w:start w:val="1"/>
      <w:numFmt w:val="decimal"/>
      <w:lvlText w:val="%2."/>
      <w:lvlJc w:val="left"/>
      <w:pPr>
        <w:tabs>
          <w:tab w:pos="1440" w:val="num"/>
        </w:tabs>
        <w:ind w:hanging="360" w:left="1440"/>
      </w:pPr>
    </w:lvl>
    <w:lvl w:ilvl="2">
      <w:start w:val="1"/>
      <w:numFmt w:val="decimal"/>
      <w:lvlText w:val="%3."/>
      <w:lvlJc w:val="left"/>
      <w:pPr>
        <w:tabs>
          <w:tab w:pos="2160" w:val="num"/>
        </w:tabs>
        <w:ind w:hanging="360" w:left="2160"/>
      </w:pPr>
    </w:lvl>
    <w:lvl w:ilvl="3">
      <w:start w:val="1"/>
      <w:numFmt w:val="decimal"/>
      <w:lvlText w:val="%4."/>
      <w:lvlJc w:val="left"/>
      <w:pPr>
        <w:tabs>
          <w:tab w:pos="2880" w:val="num"/>
        </w:tabs>
        <w:ind w:hanging="360" w:left="2880"/>
      </w:pPr>
    </w:lvl>
    <w:lvl w:ilvl="4">
      <w:start w:val="1"/>
      <w:numFmt w:val="decimal"/>
      <w:lvlText w:val="%5."/>
      <w:lvlJc w:val="left"/>
      <w:pPr>
        <w:tabs>
          <w:tab w:pos="3600" w:val="num"/>
        </w:tabs>
        <w:ind w:hanging="360" w:left="3600"/>
      </w:pPr>
    </w:lvl>
    <w:lvl w:ilvl="5">
      <w:start w:val="1"/>
      <w:numFmt w:val="decimal"/>
      <w:lvlText w:val="%6."/>
      <w:lvlJc w:val="left"/>
      <w:pPr>
        <w:tabs>
          <w:tab w:pos="4320" w:val="num"/>
        </w:tabs>
        <w:ind w:hanging="360" w:left="4320"/>
      </w:pPr>
    </w:lvl>
    <w:lvl w:ilvl="6">
      <w:start w:val="1"/>
      <w:numFmt w:val="decimal"/>
      <w:lvlText w:val="%7."/>
      <w:lvlJc w:val="left"/>
      <w:pPr>
        <w:tabs>
          <w:tab w:pos="5040" w:val="num"/>
        </w:tabs>
        <w:ind w:hanging="360" w:left="5040"/>
      </w:pPr>
    </w:lvl>
    <w:lvl w:ilvl="7">
      <w:start w:val="1"/>
      <w:numFmt w:val="decimal"/>
      <w:lvlText w:val="%8."/>
      <w:lvlJc w:val="left"/>
      <w:pPr>
        <w:tabs>
          <w:tab w:pos="5760" w:val="num"/>
        </w:tabs>
        <w:ind w:hanging="360" w:left="5760"/>
      </w:pPr>
    </w:lvl>
    <w:lvl w:ilvl="8">
      <w:start w:val="1"/>
      <w:numFmt w:val="decimal"/>
      <w:lvlText w:val="%9."/>
      <w:lvlJc w:val="left"/>
      <w:pPr>
        <w:tabs>
          <w:tab w:pos="6480" w:val="num"/>
        </w:tabs>
        <w:ind w:hanging="360" w:left="6480"/>
      </w:pPr>
    </w:lvl>
  </w:abstractNum>
  <w:abstractNum w:abstractNumId="5">
    <w:lvl w:ilvl="0">
      <w:start w:val="1"/>
      <w:numFmt w:val="decimal"/>
      <w:lvlText w:val="%1."/>
      <w:lvlJc w:val="left"/>
      <w:pPr>
        <w:tabs>
          <w:tab w:pos="720" w:val="num"/>
        </w:tabs>
        <w:ind w:hanging="360" w:left="720"/>
      </w:pPr>
    </w:lvl>
    <w:lvl w:ilvl="1">
      <w:start w:val="1"/>
      <w:numFmt w:val="lowerLetter"/>
      <w:lvlText w:val="%2."/>
      <w:lvlJc w:val="left"/>
      <w:pPr>
        <w:tabs>
          <w:tab w:pos="1440" w:val="num"/>
        </w:tabs>
        <w:ind w:hanging="360" w:left="1440"/>
      </w:pPr>
    </w:lvl>
    <w:lvl w:ilvl="2">
      <w:start w:val="1"/>
      <w:numFmt w:val="lowerRoman"/>
      <w:lvlText w:val="%3."/>
      <w:lvlJc w:val="right"/>
      <w:pPr>
        <w:tabs>
          <w:tab w:pos="2160" w:val="num"/>
        </w:tabs>
        <w:ind w:hanging="180" w:left="2160"/>
      </w:pPr>
    </w:lvl>
    <w:lvl w:ilvl="3">
      <w:start w:val="1"/>
      <w:numFmt w:val="decimal"/>
      <w:lvlText w:val="%4."/>
      <w:lvlJc w:val="left"/>
      <w:pPr>
        <w:tabs>
          <w:tab w:pos="2880" w:val="num"/>
        </w:tabs>
        <w:ind w:hanging="360" w:left="2880"/>
      </w:pPr>
    </w:lvl>
    <w:lvl w:ilvl="4">
      <w:start w:val="1"/>
      <w:numFmt w:val="lowerLetter"/>
      <w:lvlText w:val="%5."/>
      <w:lvlJc w:val="left"/>
      <w:pPr>
        <w:tabs>
          <w:tab w:pos="3600" w:val="num"/>
        </w:tabs>
        <w:ind w:hanging="360" w:left="3600"/>
      </w:pPr>
    </w:lvl>
    <w:lvl w:ilvl="5">
      <w:start w:val="1"/>
      <w:numFmt w:val="lowerRoman"/>
      <w:lvlText w:val="%6."/>
      <w:lvlJc w:val="right"/>
      <w:pPr>
        <w:tabs>
          <w:tab w:pos="4320" w:val="num"/>
        </w:tabs>
        <w:ind w:hanging="180" w:left="4320"/>
      </w:pPr>
    </w:lvl>
    <w:lvl w:ilvl="6">
      <w:start w:val="1"/>
      <w:numFmt w:val="decimal"/>
      <w:lvlText w:val="%7."/>
      <w:lvlJc w:val="left"/>
      <w:pPr>
        <w:tabs>
          <w:tab w:pos="5040" w:val="num"/>
        </w:tabs>
        <w:ind w:hanging="360" w:left="5040"/>
      </w:pPr>
    </w:lvl>
    <w:lvl w:ilvl="7">
      <w:start w:val="1"/>
      <w:numFmt w:val="lowerLetter"/>
      <w:lvlText w:val="%8."/>
      <w:lvlJc w:val="left"/>
      <w:pPr>
        <w:tabs>
          <w:tab w:pos="5760" w:val="num"/>
        </w:tabs>
        <w:ind w:hanging="360" w:left="5760"/>
      </w:pPr>
    </w:lvl>
    <w:lvl w:ilvl="8">
      <w:start w:val="1"/>
      <w:numFmt w:val="lowerRoman"/>
      <w:lvlText w:val="%9."/>
      <w:lvlJc w:val="right"/>
      <w:pPr>
        <w:tabs>
          <w:tab w:pos="6480" w:val="num"/>
        </w:tabs>
        <w:ind w:hanging="180" w:left="6480"/>
      </w:pPr>
    </w:lvl>
  </w:abstractNum>
  <w:abstractNum w:abstractNumId="6">
    <w:lvl w:ilvl="0">
      <w:start w:val="1"/>
      <w:numFmt w:val="decimal"/>
      <w:lvlText w:val="%1."/>
      <w:lvlJc w:val="left"/>
      <w:pPr>
        <w:ind w:hanging="360" w:left="360"/>
      </w:pPr>
    </w:lvl>
    <w:lvl w:ilvl="1">
      <w:start w:val="1"/>
      <w:numFmt w:val="decimal"/>
      <w:lvlText w:val="%2."/>
      <w:lvlJc w:val="left"/>
      <w:pPr>
        <w:ind w:hanging="360" w:left="1080"/>
      </w:pPr>
    </w:lvl>
    <w:lvl w:ilvl="2">
      <w:start w:val="1"/>
      <w:numFmt w:val="lowerRoman"/>
      <w:lvlText w:val="%3."/>
      <w:lvlJc w:val="right"/>
      <w:pPr>
        <w:ind w:hanging="180" w:left="1800"/>
      </w:pPr>
    </w:lvl>
    <w:lvl w:ilvl="3">
      <w:start w:val="1"/>
      <w:numFmt w:val="decimal"/>
      <w:lvlText w:val="%4."/>
      <w:lvlJc w:val="left"/>
      <w:pPr>
        <w:ind w:hanging="360" w:left="2520"/>
      </w:pPr>
    </w:lvl>
    <w:lvl w:ilvl="4">
      <w:start w:val="1"/>
      <w:numFmt w:val="lowerLetter"/>
      <w:lvlText w:val="%5."/>
      <w:lvlJc w:val="left"/>
      <w:pPr>
        <w:ind w:hanging="360" w:left="3240"/>
      </w:pPr>
    </w:lvl>
    <w:lvl w:ilvl="5">
      <w:start w:val="1"/>
      <w:numFmt w:val="lowerRoman"/>
      <w:lvlText w:val="%6."/>
      <w:lvlJc w:val="right"/>
      <w:pPr>
        <w:ind w:hanging="180" w:left="3960"/>
      </w:pPr>
    </w:lvl>
    <w:lvl w:ilvl="6">
      <w:start w:val="1"/>
      <w:numFmt w:val="decimal"/>
      <w:lvlText w:val="%7."/>
      <w:lvlJc w:val="left"/>
      <w:pPr>
        <w:ind w:hanging="360" w:left="4680"/>
      </w:pPr>
    </w:lvl>
    <w:lvl w:ilvl="7">
      <w:start w:val="1"/>
      <w:numFmt w:val="lowerLetter"/>
      <w:lvlText w:val="%8."/>
      <w:lvlJc w:val="left"/>
      <w:pPr>
        <w:ind w:hanging="360" w:left="5400"/>
      </w:pPr>
    </w:lvl>
    <w:lvl w:ilvl="8">
      <w:start w:val="1"/>
      <w:numFmt w:val="lowerRoman"/>
      <w:lvlText w:val="%9."/>
      <w:lvlJc w:val="right"/>
      <w:pPr>
        <w:ind w:hanging="180" w:left="6120"/>
      </w:pPr>
    </w:lvl>
  </w:abstractNum>
  <w:abstractNum w:abstractNumId="7">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8">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9">
    <w:lvl w:ilvl="0">
      <w:start w:val="1"/>
      <w:numFmt w:val="bullet"/>
      <w:lvlText w:val=""/>
      <w:lvlJc w:val="left"/>
      <w:pPr>
        <w:ind w:hanging="360" w:left="720"/>
      </w:pPr>
      <w:rPr>
        <w:rFonts w:ascii="Symbol" w:cs="Symbol" w:hAnsi="Symbol"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abstractNum w:abstractNumId="10">
    <w:lvl w:ilvl="0">
      <w:start w:val="1"/>
      <w:numFmt w:val="bullet"/>
      <w:lvlText w:val=""/>
      <w:lvlJc w:val="left"/>
      <w:pPr>
        <w:ind w:hanging="360" w:left="720"/>
      </w:pPr>
      <w:rPr>
        <w:rFonts w:ascii="Symbol" w:cs="Symbol" w:hAnsi="Symbol"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abstractNum w:abstractNumId="11">
    <w:lvl w:ilvl="0">
      <w:start w:val="1"/>
      <w:numFmt w:val="bullet"/>
      <w:lvlText w:val=""/>
      <w:lvlJc w:val="left"/>
      <w:pPr>
        <w:ind w:hanging="360" w:left="720"/>
      </w:pPr>
      <w:rPr>
        <w:rFonts w:ascii="Symbol" w:cs="Symbol" w:hAnsi="Symbol"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tyles.xml><?xml version="1.0" encoding="utf-8"?>
<w:styles xmlns:w="http://schemas.openxmlformats.org/wordprocessingml/2006/main">
  <w:style w:styleId="style0" w:type="paragraph">
    <w:name w:val="Normal"/>
    <w:next w:val="style0"/>
    <w:pPr>
      <w:widowControl/>
      <w:tabs>
        <w:tab w:leader="none" w:pos="720" w:val="left"/>
      </w:tabs>
      <w:suppressAutoHyphens w:val="true"/>
      <w:spacing w:after="200" w:before="0" w:line="276" w:lineRule="auto"/>
    </w:pPr>
    <w:rPr>
      <w:rFonts w:ascii="LHJHLI+Arial" w:cs="LHJHLI+Arial1" w:eastAsia="Calibri" w:hAnsi="LHJHLI+Arial"/>
      <w:color w:val="auto"/>
      <w:sz w:val="24"/>
      <w:szCs w:val="20"/>
      <w:lang w:bidi="ar-SA" w:eastAsia="en-US" w:val="en-US"/>
    </w:rPr>
  </w:style>
  <w:style w:styleId="style1" w:type="paragraph">
    <w:name w:val="Heading 1"/>
    <w:basedOn w:val="style0"/>
    <w:next w:val="style28"/>
    <w:pPr>
      <w:keepNext/>
    </w:pPr>
    <w:rPr>
      <w:b/>
      <w:sz w:val="24"/>
    </w:rPr>
  </w:style>
  <w:style w:styleId="style2" w:type="paragraph">
    <w:name w:val="Heading 2"/>
    <w:basedOn w:val="style0"/>
    <w:next w:val="style28"/>
    <w:pPr>
      <w:keepNext/>
      <w:numPr>
        <w:ilvl w:val="1"/>
        <w:numId w:val="1"/>
      </w:numPr>
      <w:outlineLvl w:val="1"/>
    </w:pPr>
    <w:rPr>
      <w:sz w:val="24"/>
    </w:rPr>
  </w:style>
  <w:style w:styleId="style15" w:type="character">
    <w:name w:val="Default Paragraph Font"/>
    <w:next w:val="style15"/>
    <w:rPr/>
  </w:style>
  <w:style w:styleId="style16" w:type="character">
    <w:name w:val="Internet Link"/>
    <w:next w:val="style16"/>
    <w:rPr>
      <w:color w:val="0000FF"/>
      <w:u w:val="single"/>
      <w:lang w:bidi="en-US" w:eastAsia="en-US" w:val="en-US"/>
    </w:rPr>
  </w:style>
  <w:style w:styleId="style17" w:type="character">
    <w:name w:val="Footer Char"/>
    <w:basedOn w:val="style15"/>
    <w:next w:val="style17"/>
    <w:rPr/>
  </w:style>
  <w:style w:styleId="style18" w:type="character">
    <w:name w:val="apple-style-span"/>
    <w:basedOn w:val="style15"/>
    <w:next w:val="style18"/>
    <w:rPr/>
  </w:style>
  <w:style w:styleId="style19" w:type="character">
    <w:name w:val="Emphasis"/>
    <w:next w:val="style19"/>
    <w:rPr>
      <w:i/>
      <w:iCs/>
    </w:rPr>
  </w:style>
  <w:style w:styleId="style20" w:type="character">
    <w:name w:val="T17"/>
    <w:next w:val="style20"/>
    <w:rPr>
      <w:b/>
      <w:color w:val="00000A"/>
      <w:sz w:val="22"/>
    </w:rPr>
  </w:style>
  <w:style w:styleId="style21" w:type="character">
    <w:name w:val="T18"/>
    <w:next w:val="style21"/>
    <w:rPr>
      <w:color w:val="00000A"/>
      <w:sz w:val="22"/>
    </w:rPr>
  </w:style>
  <w:style w:styleId="style22" w:type="character">
    <w:name w:val="T19"/>
    <w:next w:val="style22"/>
    <w:rPr>
      <w:i/>
      <w:color w:val="00000A"/>
      <w:sz w:val="22"/>
    </w:rPr>
  </w:style>
  <w:style w:styleId="style23" w:type="character">
    <w:name w:val="FollowedHyperlink"/>
    <w:basedOn w:val="style15"/>
    <w:next w:val="style23"/>
    <w:rPr>
      <w:color w:val="800080"/>
      <w:u w:val="single"/>
    </w:rPr>
  </w:style>
  <w:style w:styleId="style24" w:type="character">
    <w:name w:val="ListLabel 1"/>
    <w:next w:val="style24"/>
    <w:rPr>
      <w:rFonts w:cs="Courier New"/>
    </w:rPr>
  </w:style>
  <w:style w:styleId="style25" w:type="character">
    <w:name w:val="ListLabel 2"/>
    <w:next w:val="style25"/>
    <w:rPr>
      <w:sz w:val="24"/>
      <w:szCs w:val="24"/>
    </w:rPr>
  </w:style>
  <w:style w:styleId="style26" w:type="character">
    <w:name w:val="ListLabel 3"/>
    <w:next w:val="style26"/>
    <w:rPr>
      <w:sz w:val="20"/>
      <w:szCs w:val="20"/>
    </w:rPr>
  </w:style>
  <w:style w:styleId="style27" w:type="paragraph">
    <w:name w:val="Heading"/>
    <w:basedOn w:val="style0"/>
    <w:next w:val="style28"/>
    <w:pPr>
      <w:keepNext/>
      <w:spacing w:after="120" w:before="240"/>
    </w:pPr>
    <w:rPr>
      <w:rFonts w:ascii="Arial" w:cs="Mangal" w:eastAsia="Microsoft YaHei" w:hAnsi="Arial"/>
      <w:sz w:val="28"/>
      <w:szCs w:val="28"/>
    </w:rPr>
  </w:style>
  <w:style w:styleId="style28" w:type="paragraph">
    <w:name w:val="Text body"/>
    <w:basedOn w:val="style0"/>
    <w:next w:val="style28"/>
    <w:pPr/>
    <w:rPr>
      <w:sz w:val="24"/>
    </w:rPr>
  </w:style>
  <w:style w:styleId="style29" w:type="paragraph">
    <w:name w:val="List"/>
    <w:basedOn w:val="style28"/>
    <w:next w:val="style29"/>
    <w:pPr/>
    <w:rPr>
      <w:rFonts w:cs="Mangal"/>
    </w:rPr>
  </w:style>
  <w:style w:styleId="style30" w:type="paragraph">
    <w:name w:val="Caption"/>
    <w:basedOn w:val="style0"/>
    <w:next w:val="style30"/>
    <w:pPr>
      <w:suppressLineNumbers/>
      <w:spacing w:after="120" w:before="120"/>
    </w:pPr>
    <w:rPr>
      <w:rFonts w:cs="Mangal"/>
      <w:i/>
      <w:iCs/>
      <w:sz w:val="24"/>
      <w:szCs w:val="24"/>
    </w:rPr>
  </w:style>
  <w:style w:styleId="style31" w:type="paragraph">
    <w:name w:val="Index"/>
    <w:basedOn w:val="style0"/>
    <w:next w:val="style31"/>
    <w:pPr>
      <w:suppressLineNumbers/>
    </w:pPr>
    <w:rPr>
      <w:rFonts w:cs="Mangal"/>
    </w:rPr>
  </w:style>
  <w:style w:styleId="style32" w:type="paragraph">
    <w:name w:val="Header"/>
    <w:basedOn w:val="style0"/>
    <w:next w:val="style32"/>
    <w:pPr>
      <w:suppressLineNumbers/>
      <w:tabs>
        <w:tab w:leader="none" w:pos="4320" w:val="center"/>
        <w:tab w:leader="none" w:pos="8640" w:val="right"/>
      </w:tabs>
    </w:pPr>
    <w:rPr/>
  </w:style>
  <w:style w:styleId="style33" w:type="paragraph">
    <w:name w:val="Footer"/>
    <w:basedOn w:val="style0"/>
    <w:next w:val="style33"/>
    <w:pPr>
      <w:suppressLineNumbers/>
      <w:tabs>
        <w:tab w:leader="none" w:pos="4320" w:val="center"/>
        <w:tab w:leader="none" w:pos="8640" w:val="right"/>
      </w:tabs>
    </w:pPr>
    <w:rPr/>
  </w:style>
  <w:style w:styleId="style34" w:type="paragraph">
    <w:name w:val="Balloon Text"/>
    <w:basedOn w:val="style0"/>
    <w:next w:val="style34"/>
    <w:pPr/>
    <w:rPr>
      <w:rFonts w:ascii="Tahoma" w:cs="Tahoma" w:hAnsi="Tahoma"/>
      <w:sz w:val="16"/>
      <w:szCs w:val="16"/>
    </w:rPr>
  </w:style>
  <w:style w:styleId="style35" w:type="paragraph">
    <w:name w:val="List Paragraph"/>
    <w:basedOn w:val="style0"/>
    <w:next w:val="style35"/>
    <w:pPr>
      <w:ind w:hanging="0" w:left="720" w:right="0"/>
    </w:pPr>
    <w:rPr>
      <w:rFonts w:eastAsia="MS Mincho"/>
      <w:sz w:val="24"/>
      <w:szCs w:val="24"/>
    </w:rPr>
  </w:style>
  <w:style w:styleId="style36" w:type="paragraph">
    <w:name w:val="P9"/>
    <w:basedOn w:val="style0"/>
    <w:next w:val="style36"/>
    <w:pPr/>
    <w:rPr>
      <w:b/>
      <w:u w:val="single"/>
    </w:rPr>
  </w:style>
  <w:style w:styleId="style37" w:type="paragraph">
    <w:name w:val="P30"/>
    <w:basedOn w:val="style0"/>
    <w:next w:val="style37"/>
    <w:pPr>
      <w:widowControl w:val="false"/>
      <w:tabs>
        <w:tab w:leader="none" w:pos="540" w:val="left"/>
      </w:tabs>
    </w:pPr>
    <w:rPr>
      <w:rFonts w:cs="Times New Roman1" w:eastAsia="Calibri"/>
      <w:sz w:val="24"/>
    </w:rPr>
  </w:style>
  <w:style w:styleId="style38" w:type="paragraph">
    <w:name w:val="P55"/>
    <w:basedOn w:val="style0"/>
    <w:next w:val="style38"/>
    <w:pPr/>
    <w:rPr>
      <w:b/>
      <w:sz w:val="22"/>
    </w:rPr>
  </w:style>
  <w:style w:styleId="style39" w:type="paragraph">
    <w:name w:val="P14"/>
    <w:basedOn w:val="style0"/>
    <w:next w:val="style39"/>
    <w:pPr>
      <w:widowControl w:val="false"/>
      <w:spacing w:after="0" w:before="0" w:line="100" w:lineRule="atLeast"/>
    </w:pPr>
    <w:rPr/>
  </w:style>
  <w:style w:styleId="style40" w:type="paragraph">
    <w:name w:val="P31"/>
    <w:basedOn w:val="style0"/>
    <w:next w:val="style40"/>
    <w:pPr>
      <w:widowControl w:val="false"/>
      <w:jc w:val="center"/>
    </w:pPr>
    <w:rPr>
      <w:rFonts w:cs="Times New Roman1" w:eastAsia="Calibri"/>
      <w:b/>
    </w:rPr>
  </w:style>
  <w:style w:styleId="style41" w:type="paragraph">
    <w:name w:val="P33"/>
    <w:basedOn w:val="style0"/>
    <w:next w:val="style41"/>
    <w:pPr>
      <w:widowControl w:val="false"/>
      <w:jc w:val="center"/>
    </w:pPr>
    <w:rPr>
      <w:rFonts w:ascii="Arial1" w:cs="Arial2" w:eastAsia="Calibri" w:hAnsi="Arial1"/>
      <w:b/>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libreoffice.org/" TargetMode="External"/><Relationship Id="rId3" Type="http://schemas.openxmlformats.org/officeDocument/2006/relationships/hyperlink" Target="http://www.livetext.com/" TargetMode="External"/><Relationship Id="rId4" Type="http://schemas.openxmlformats.org/officeDocument/2006/relationships/hyperlink" Target="http://www.Learner.org/" TargetMode="External"/><Relationship Id="rId5" Type="http://schemas.openxmlformats.org/officeDocument/2006/relationships/hyperlink" Target="mailto:jyasuhar@chaminade.edu" TargetMode="External"/><Relationship Id="rId6" Type="http://schemas.openxmlformats.org/officeDocument/2006/relationships/hyperlink" Target="mailto:helpdesk@chaminade.ecollege.com" TargetMode="External"/><Relationship Id="rId7" Type="http://schemas.openxmlformats.org/officeDocument/2006/relationships/hyperlink" Target="mailto:jnakason@chaminade.edu" TargetMode="External"/><Relationship Id="rId8" Type="http://schemas.openxmlformats.org/officeDocument/2006/relationships/hyperlink" Target="https://www.livetext.com/overview/student-overview.html"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emplate>Normal</Template>
  <TotalTime>6</TotalTime>
  <Application>LibreOffice/3.5$Windows_x86 LibreOffice_project/7122e39-92ed229-498d286-15e43b4-d70da21</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2012-10-01T23:45:00.00Z</dcterms:created>
  <dc:creator>Lauren Miyasato</dc:creator>
  <cp:lastModifiedBy>0219408</cp:lastModifiedBy>
  <cp:lastPrinted>2012-09-04T22:20:00.00Z</cp:lastPrinted>
  <dcterms:modified xsi:type="dcterms:W3CDTF">2012-10-02T01:47:00.00Z</dcterms:modified>
  <cp:revision>3</cp:revision>
  <dc:title>INSTRUCTOR:</dc:title>
</cp:coreProperties>
</file>