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header2.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
        <w:numPr>
          <w:ilvl w:val="0"/>
          <w:numId w:val="2"/>
        </w:numPr>
        <w:spacing w:after="120" w:before="240"/>
        <w:contextualSpacing w:val="false"/>
      </w:pPr>
      <w:r>
        <w:rPr/>
        <w:t>Instructor:</w:t>
      </w:r>
    </w:p>
    <w:p>
      <w:pPr>
        <w:pStyle w:val="style26"/>
      </w:pPr>
      <w:r>
        <w:rPr/>
        <w:t>The Rev. Dale Hathaway, M.Div., M.A.</w:t>
      </w:r>
    </w:p>
    <w:p>
      <w:pPr>
        <w:pStyle w:val="style26"/>
        <w:ind w:hanging="0" w:left="0" w:right="0"/>
      </w:pPr>
      <w:r>
        <w:rPr>
          <w:i/>
          <w:iCs/>
        </w:rPr>
        <w:tab/>
        <w:tab/>
      </w:r>
      <w:hyperlink r:id="rId2">
        <w:r>
          <w:rPr>
            <w:rStyle w:val="style18"/>
            <w:rStyle w:val="style18"/>
            <w:i/>
            <w:iCs/>
          </w:rPr>
          <w:t>dale.hathaway@chaminade.edu</w:t>
        </w:r>
      </w:hyperlink>
    </w:p>
    <w:p>
      <w:pPr>
        <w:pStyle w:val="style26"/>
        <w:ind w:hanging="0" w:left="0" w:right="0"/>
      </w:pPr>
      <w:r>
        <w:rPr>
          <w:i/>
          <w:iCs/>
        </w:rPr>
        <w:tab/>
        <w:tab/>
      </w:r>
      <w:r>
        <w:rPr>
          <w:i/>
          <w:iCs/>
        </w:rPr>
        <w:t>d</w:t>
      </w:r>
      <w:hyperlink r:id="rId3">
        <w:r>
          <w:rPr>
            <w:rStyle w:val="style18"/>
            <w:rStyle w:val="style18"/>
            <w:i/>
            <w:iCs/>
          </w:rPr>
          <w:t>aleshi5</w:t>
        </w:r>
        <w:r>
          <w:rPr>
            <w:rStyle w:val="style18"/>
            <w:rStyle w:val="style18"/>
            <w:i/>
            <w:iCs/>
          </w:rPr>
          <w:t>@gmail.com</w:t>
        </w:r>
      </w:hyperlink>
      <w:r>
        <w:rPr>
          <w:i/>
          <w:iCs/>
        </w:rPr>
        <w:t xml:space="preserve"> </w:t>
      </w:r>
    </w:p>
    <w:p>
      <w:pPr>
        <w:pStyle w:val="style26"/>
      </w:pPr>
      <w:r>
        <w:rPr/>
        <w:t xml:space="preserve">It is preferred that you </w:t>
      </w:r>
      <w:r>
        <w:rPr/>
        <w:t xml:space="preserve">use the eCollege email system, </w:t>
      </w:r>
      <w:r>
        <w:rPr/>
        <w:t>but I will also accept email at my gmail account</w:t>
      </w:r>
      <w:r>
        <w:rPr/>
        <w:t>. There is a “Virtual Office” in eCollege that is there for the purpose of asking questions.</w:t>
      </w:r>
    </w:p>
    <w:p>
      <w:pPr>
        <w:pStyle w:val="style26"/>
      </w:pPr>
      <w:r>
        <w:rPr/>
        <w:t>Office: 440-4264</w:t>
        <w:br/>
        <w:t xml:space="preserve">Cell: 808-780-2573 </w:t>
      </w:r>
    </w:p>
    <w:p>
      <w:pPr>
        <w:pStyle w:val="style26"/>
      </w:pPr>
      <w:r>
        <w:rPr/>
        <w:t>The quickest ways to reach me will be by cell phone or email.</w:t>
      </w:r>
    </w:p>
    <w:p>
      <w:pPr>
        <w:pStyle w:val="style2"/>
        <w:numPr>
          <w:ilvl w:val="1"/>
          <w:numId w:val="3"/>
        </w:numPr>
        <w:ind w:hanging="0" w:left="518" w:right="0"/>
      </w:pPr>
      <w:r>
        <w:rPr/>
        <w:t>Office Hours:</w:t>
      </w:r>
    </w:p>
    <w:p>
      <w:pPr>
        <w:pStyle w:val="style26"/>
      </w:pPr>
      <w:r>
        <w:rPr/>
        <w:t xml:space="preserve">As needed please contact me via email </w:t>
      </w:r>
      <w:r>
        <w:rPr/>
        <w:t>or phone</w:t>
      </w:r>
      <w:r>
        <w:rPr/>
        <w:t xml:space="preserve"> to set an appointment. My office is #128 in Brogan Hall. </w:t>
      </w:r>
    </w:p>
    <w:p>
      <w:pPr>
        <w:pStyle w:val="style26"/>
      </w:pPr>
      <w:r>
        <w:rPr/>
        <w:t>For technical assistance, please contact helpdesk@chaminade.edu</w:t>
      </w:r>
    </w:p>
    <w:p>
      <w:pPr>
        <w:pStyle w:val="style1"/>
        <w:numPr>
          <w:ilvl w:val="0"/>
          <w:numId w:val="2"/>
        </w:numPr>
      </w:pPr>
      <w:r>
        <w:rPr/>
        <w:t xml:space="preserve"> </w:t>
      </w:r>
      <w:r>
        <w:rPr/>
        <w:t xml:space="preserve">Texts:  </w:t>
      </w:r>
    </w:p>
    <w:p>
      <w:pPr>
        <w:pStyle w:val="style34"/>
      </w:pPr>
      <w:r>
        <w:rPr/>
        <w:t xml:space="preserve">Kessler, R., (2000). </w:t>
      </w:r>
      <w:r>
        <w:rPr>
          <w:i/>
          <w:iCs/>
        </w:rPr>
        <w:t>Soul of Education: Helping Students Find Connection, Compassion, and Character at School</w:t>
      </w:r>
      <w:r>
        <w:rPr/>
        <w:t>. Virginia: ASCD.</w:t>
      </w:r>
    </w:p>
    <w:p>
      <w:pPr>
        <w:pStyle w:val="style26"/>
        <w:ind w:hanging="0" w:left="1418" w:right="0"/>
      </w:pPr>
      <w:r>
        <w:rPr>
          <w:i/>
          <w:iCs/>
        </w:rPr>
        <w:t>This text is available in ebook format through the Sullivan Library. Go to http://www.chaminade.edu/library/tutorials/ebrary.php for a guide to locating and using the book. You will need your 7-digit Chaminade ID (CID) and your password (same as for web portal) to log in to ebrary.</w:t>
      </w:r>
    </w:p>
    <w:p>
      <w:pPr>
        <w:pStyle w:val="style34"/>
      </w:pPr>
      <w:r>
        <w:rPr/>
        <w:t xml:space="preserve">Darling-Hammond, L. (2010). </w:t>
      </w:r>
      <w:r>
        <w:rPr>
          <w:i/>
          <w:iCs/>
        </w:rPr>
        <w:t>The flat world and education: How America’s commitment to equity will determine our future.</w:t>
      </w:r>
      <w:r>
        <w:rPr/>
        <w:t xml:space="preserve"> New York: Teachers College Press.</w:t>
      </w:r>
    </w:p>
    <w:p>
      <w:pPr>
        <w:pStyle w:val="style34"/>
      </w:pPr>
      <w:r>
        <w:rPr/>
        <w:t xml:space="preserve">Palmer, Parker.  </w:t>
      </w:r>
      <w:r>
        <w:rPr>
          <w:i/>
          <w:iCs/>
        </w:rPr>
        <w:t>The Courage to Teach: Exploring the Inner Landscape of a Teacher’s Life, 10th Anniversary Edition</w:t>
      </w:r>
      <w:r>
        <w:rPr/>
        <w:t xml:space="preserve">  San Francisco:   Jossey-Bass, Inc. Publishers, 2007.</w:t>
      </w:r>
    </w:p>
    <w:p>
      <w:pPr>
        <w:pStyle w:val="style1"/>
        <w:numPr>
          <w:ilvl w:val="0"/>
          <w:numId w:val="2"/>
        </w:numPr>
      </w:pPr>
      <w:r>
        <w:rPr/>
        <w:t>eCollege:</w:t>
      </w:r>
    </w:p>
    <w:p>
      <w:pPr>
        <w:pStyle w:val="style26"/>
      </w:pPr>
      <w:r>
        <w:rPr/>
        <w:t>Go to: http://chaminade.ecollege.com</w:t>
      </w:r>
    </w:p>
    <w:p>
      <w:pPr>
        <w:pStyle w:val="style26"/>
      </w:pPr>
      <w:r>
        <w:rPr/>
        <w:t>If you do not see your course listed or have difficulty logging in, please contact Jon Nakasone at jnakason@chaminade.edu</w:t>
      </w:r>
    </w:p>
    <w:p>
      <w:pPr>
        <w:pStyle w:val="style26"/>
      </w:pPr>
      <w:r>
        <w:rPr/>
        <w:t>For technical questions, contact the Chaminade eCollege helpdesk at: helpdesk@chaminade.ecollege.com or call toll free at (866) 647-0654 This is a 24/7 helpdesk.</w:t>
      </w:r>
    </w:p>
    <w:p>
      <w:pPr>
        <w:pStyle w:val="style1"/>
        <w:numPr>
          <w:ilvl w:val="0"/>
          <w:numId w:val="2"/>
        </w:numPr>
      </w:pPr>
      <w:r>
        <w:rPr/>
        <w:t>Livetext:</w:t>
      </w:r>
    </w:p>
    <w:p>
      <w:pPr>
        <w:pStyle w:val="style26"/>
      </w:pPr>
      <w:r>
        <w:rPr/>
        <w:t>Submission of Signature Assignment and other assignments as identified by instructor require a LiveText account.  Login to LiveText at www.livetext.com For technical assistance with LiveText, contact support@livetext.com Expect a response within 24 hours.</w:t>
      </w:r>
    </w:p>
    <w:p>
      <w:pPr>
        <w:pStyle w:val="style1"/>
        <w:numPr>
          <w:ilvl w:val="0"/>
          <w:numId w:val="2"/>
        </w:numPr>
      </w:pPr>
      <w:r>
        <w:rPr/>
        <w:t xml:space="preserve">Catalog Description  </w:t>
      </w:r>
    </w:p>
    <w:p>
      <w:pPr>
        <w:pStyle w:val="style26"/>
      </w:pPr>
      <w:r>
        <w:rPr/>
        <w:t>This course explores influences on educational change at the classroom, school, community, state and national levels. Focus is on critical examination of peace and justice theories, principles, and research as related to educational reform.</w:t>
      </w:r>
    </w:p>
    <w:p>
      <w:pPr>
        <w:pStyle w:val="style1"/>
        <w:numPr>
          <w:ilvl w:val="0"/>
          <w:numId w:val="2"/>
        </w:numPr>
      </w:pPr>
      <w:r>
        <w:rPr/>
        <w:t>Major Course Topics</w:t>
      </w:r>
    </w:p>
    <w:p>
      <w:pPr>
        <w:pStyle w:val="style26"/>
      </w:pPr>
      <w:r>
        <w:rPr/>
        <w:t>It is important for educators to explore and to understand the paradigm shifts occurring today that are redefining teaching and learning for the 21st century.  The paradigm shifts in question refer to transformative change rather than simply reforming existing societal and educational structures.  The underlying assumption is that long-term transformation toward a more just and compassionate society is accomplished through cultural change, and institutionalized in social, political and educational structures.</w:t>
      </w:r>
    </w:p>
    <w:p>
      <w:pPr>
        <w:pStyle w:val="style26"/>
      </w:pPr>
      <w:r>
        <w:rPr/>
      </w:r>
    </w:p>
    <w:p>
      <w:pPr>
        <w:pStyle w:val="style26"/>
      </w:pPr>
      <w:r>
        <w:rPr/>
        <w:t>The exploration of educational structures is intended to identify and to address issues of structural violence in society, in general, and in schools in particular.  This exploration leads naturally to the discovery of educational strategies that embody the ideals of a just society.  Therefore, pertaining to schools, this course will focus on analyzing issues of peace, social justice and educational transformation.</w:t>
      </w:r>
    </w:p>
    <w:p>
      <w:pPr>
        <w:pStyle w:val="style1"/>
        <w:numPr>
          <w:ilvl w:val="0"/>
          <w:numId w:val="2"/>
        </w:numPr>
      </w:pPr>
      <w:r>
        <w:rPr/>
        <w:t>Med Program Outcomes</w:t>
      </w:r>
    </w:p>
    <w:p>
      <w:pPr>
        <w:pStyle w:val="style26"/>
        <w:ind w:hanging="0" w:left="950" w:right="1470"/>
      </w:pPr>
      <w:r>
        <w:rPr/>
        <w:t>The M.Ed./MAT program prepares graduate candidates who are able to apply practice, theory, leadership, scholarship and communication.  Therefore, the successful candidate:</w:t>
      </w:r>
    </w:p>
    <w:p>
      <w:pPr>
        <w:pStyle w:val="style26"/>
        <w:numPr>
          <w:ilvl w:val="0"/>
          <w:numId w:val="4"/>
        </w:numPr>
      </w:pPr>
      <w:r>
        <w:rPr/>
        <w:t>(PRACTICE) demonstrates on-going commitment to the progress and well being of the learner, to the school and professional community, and to his/her own professional and intellectual development;</w:t>
      </w:r>
    </w:p>
    <w:p>
      <w:pPr>
        <w:pStyle w:val="style26"/>
        <w:numPr>
          <w:ilvl w:val="0"/>
          <w:numId w:val="4"/>
        </w:numPr>
      </w:pPr>
      <w:r>
        <w:rPr/>
        <w:t>(THEORY)  differentiates between and critique major theories currently driving the field as important empirical, historical, philosophical and conceptual studies;</w:t>
      </w:r>
    </w:p>
    <w:p>
      <w:pPr>
        <w:pStyle w:val="style26"/>
        <w:numPr>
          <w:ilvl w:val="0"/>
          <w:numId w:val="4"/>
        </w:numPr>
      </w:pPr>
      <w:r>
        <w:rPr/>
        <w:t>(LEADERSHIP  applies reform-based practice characterized by caring, mutual respect for diverse populations, collaboration and actively involving students in experiences that allow the construction of meaning and promotion of self-responsibility for learning;</w:t>
      </w:r>
    </w:p>
    <w:p>
      <w:pPr>
        <w:pStyle w:val="style26"/>
        <w:numPr>
          <w:ilvl w:val="0"/>
          <w:numId w:val="4"/>
        </w:numPr>
      </w:pPr>
      <w:r>
        <w:rPr/>
        <w:t>(SCHOLARSHIP) demonstrates the ability to critique and analyze academic literature and research methodology; and</w:t>
      </w:r>
    </w:p>
    <w:p>
      <w:pPr>
        <w:sectPr>
          <w:headerReference r:id="rId4" w:type="default"/>
          <w:type w:val="nextPage"/>
          <w:pgSz w:h="15840" w:w="12240"/>
          <w:pgMar w:bottom="1134" w:footer="0" w:gutter="0" w:header="720" w:left="1134" w:right="1134" w:top="1134"/>
          <w:pgNumType w:fmt="decimal"/>
          <w:formProt w:val="false"/>
          <w:textDirection w:val="lrTb"/>
          <w:docGrid w:charSpace="0" w:linePitch="240" w:type="default"/>
        </w:sectPr>
        <w:pStyle w:val="style26"/>
        <w:numPr>
          <w:ilvl w:val="0"/>
          <w:numId w:val="4"/>
        </w:numPr>
      </w:pPr>
      <w:r>
        <w:rPr/>
        <w:t>(COMMUNICATION) composes academic prose for a variety of audiences including peers, professors, and the larger professional community.</w:t>
      </w:r>
    </w:p>
    <w:tbl>
      <w:tblPr>
        <w:jc w:val="left"/>
        <w:tblInd w:type="dxa" w:w="-123"/>
        <w:tblBorders>
          <w:top w:color="000000" w:space="0" w:sz="4" w:val="single"/>
          <w:left w:color="000000" w:space="0" w:sz="4" w:val="single"/>
          <w:bottom w:color="000000" w:space="0" w:sz="4" w:val="single"/>
          <w:right w:color="000000" w:space="0" w:sz="4" w:val="single"/>
        </w:tblBorders>
      </w:tblPr>
      <w:tblGrid>
        <w:gridCol w:w="9606"/>
      </w:tblGrid>
      <w:tr>
        <w:trPr>
          <w:trHeight w:hRule="atLeast" w:val="550"/>
          <w:cantSplit w:val="true"/>
        </w:trPr>
        <w:tc>
          <w:tcPr>
            <w:tcW w:type="dxa" w:w="9606"/>
            <w:gridSpan w:val="2"/>
            <w:tcBorders>
              <w:top w:color="000000" w:space="0" w:sz="4" w:val="single"/>
              <w:left w:color="000000" w:space="0" w:sz="4" w:val="single"/>
              <w:bottom w:color="000000" w:space="0" w:sz="4" w:val="single"/>
              <w:right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b/>
                <w:color w:val="1F497D"/>
                <w:sz w:val="28"/>
                <w:szCs w:val="28"/>
              </w:rPr>
              <w:t>STUDENT LEARNING OUTCOMES</w:t>
            </w:r>
          </w:p>
        </w:tc>
      </w:tr>
      <w:tr>
        <w:trPr>
          <w:trHeight w:hRule="atLeast" w:val="550"/>
          <w:cantSplit w:val="true"/>
        </w:trPr>
        <w:tc>
          <w:tcPr>
            <w:tcW w:type="dxa" w:w="4803"/>
            <w:tcBorders>
              <w:left w:color="000000" w:space="0" w:sz="4" w:val="single"/>
              <w:bottom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jc w:val="center"/>
            </w:pPr>
            <w:r>
              <w:rPr>
                <w:rFonts w:ascii="Times New Roman" w:cs="Times New Roman" w:eastAsia="Times New Roman" w:hAnsi="Times New Roman"/>
                <w:b/>
                <w:color w:val="1F497D"/>
              </w:rPr>
              <w:t>Outcomes</w:t>
            </w:r>
          </w:p>
        </w:tc>
        <w:tc>
          <w:tcPr>
            <w:tcW w:type="dxa" w:w="4803"/>
            <w:tcBorders>
              <w:left w:color="000000" w:space="0" w:sz="4" w:val="single"/>
              <w:bottom w:color="000000" w:space="0" w:sz="4" w:val="single"/>
              <w:right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jc w:val="center"/>
            </w:pPr>
            <w:r>
              <w:rPr>
                <w:rFonts w:ascii="Times New Roman" w:cs="Times New Roman" w:eastAsia="Times New Roman" w:hAnsi="Times New Roman"/>
                <w:b/>
                <w:color w:val="1F497D"/>
              </w:rPr>
              <w:t>How will outcome be achieved?</w:t>
            </w:r>
          </w:p>
        </w:tc>
      </w:tr>
      <w:tr>
        <w:trPr>
          <w:trHeight w:hRule="atLeast" w:val="550"/>
          <w:cantSplit w:val="true"/>
        </w:trPr>
        <w:tc>
          <w:tcPr>
            <w:tcW w:type="dxa" w:w="4803"/>
            <w:tcBorders>
              <w:top w:color="000000" w:space="0" w:sz="4" w:val="single"/>
              <w:left w:color="000000" w:space="0" w:sz="4" w:val="single"/>
              <w:bottom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rPr>
              <w:t xml:space="preserve">Students will demonstrate how to solve complex problems and make decisions using principles of scientific inquiry. </w:t>
            </w:r>
          </w:p>
          <w:p>
            <w:pPr>
              <w:pStyle w:val="style0"/>
              <w:numPr>
                <w:ilvl w:val="0"/>
                <w:numId w:val="2"/>
              </w:numPr>
              <w:spacing w:after="0" w:before="0" w:line="100" w:lineRule="atLeast"/>
              <w:contextualSpacing w:val="false"/>
            </w:pPr>
            <w:r>
              <w:rPr>
                <w:rFonts w:ascii="Times New Roman" w:cs="Times New Roman" w:eastAsia="Times New Roman" w:hAnsi="Times New Roman"/>
              </w:rPr>
              <w:t xml:space="preserve">   </w:t>
            </w:r>
          </w:p>
        </w:tc>
        <w:tc>
          <w:tcPr>
            <w:tcW w:type="dxa" w:w="4803"/>
            <w:tcBorders>
              <w:top w:color="000000" w:space="0" w:sz="4" w:val="single"/>
              <w:left w:color="000000" w:space="0" w:sz="4" w:val="single"/>
              <w:bottom w:color="000000" w:space="0" w:sz="4" w:val="single"/>
              <w:right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rPr>
              <w:t xml:space="preserve">Reflection paper, research paper, and </w:t>
            </w:r>
            <w:r>
              <w:rPr>
                <w:rFonts w:ascii="Times New Roman" w:cs="Times New Roman" w:eastAsia="Times New Roman" w:hAnsi="Times New Roman"/>
              </w:rPr>
              <w:t>discussion threads</w:t>
            </w:r>
            <w:r>
              <w:rPr>
                <w:rFonts w:ascii="Times New Roman" w:cs="Times New Roman" w:eastAsia="Times New Roman" w:hAnsi="Times New Roman"/>
              </w:rPr>
              <w:t xml:space="preserve">. </w:t>
            </w:r>
          </w:p>
          <w:p>
            <w:pPr>
              <w:pStyle w:val="style0"/>
              <w:numPr>
                <w:ilvl w:val="0"/>
                <w:numId w:val="2"/>
              </w:numPr>
              <w:spacing w:after="0" w:before="0" w:line="100" w:lineRule="atLeast"/>
              <w:contextualSpacing w:val="false"/>
            </w:pPr>
            <w:r>
              <w:rPr>
                <w:rFonts w:ascii="Times New Roman" w:cs="Times New Roman" w:eastAsia="Times New Roman" w:hAnsi="Times New Roman"/>
              </w:rPr>
            </w:r>
          </w:p>
        </w:tc>
      </w:tr>
      <w:tr>
        <w:trPr>
          <w:trHeight w:hRule="atLeast" w:val="1493"/>
          <w:cantSplit w:val="false"/>
        </w:trPr>
        <w:tc>
          <w:tcPr>
            <w:tcW w:type="dxa" w:w="4803"/>
            <w:tcBorders>
              <w:top w:color="000000" w:space="0" w:sz="4" w:val="single"/>
              <w:left w:color="000000" w:space="0" w:sz="4" w:val="single"/>
              <w:bottom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rPr>
              <w:t xml:space="preserve">Students will demonstrate application, analysis, and evaluation of the core concepts and emphasis area as outlined in student learning outcomes and signature assignments. </w:t>
            </w:r>
          </w:p>
          <w:p>
            <w:pPr>
              <w:pStyle w:val="style0"/>
              <w:numPr>
                <w:ilvl w:val="0"/>
                <w:numId w:val="2"/>
              </w:numPr>
              <w:spacing w:after="0" w:before="0" w:line="100" w:lineRule="atLeast"/>
              <w:contextualSpacing w:val="false"/>
            </w:pPr>
            <w:r>
              <w:rPr>
                <w:rFonts w:ascii="Times New Roman" w:cs="Times New Roman" w:eastAsia="Times New Roman" w:hAnsi="Times New Roman"/>
              </w:rPr>
            </w:r>
          </w:p>
        </w:tc>
        <w:tc>
          <w:tcPr>
            <w:tcW w:type="dxa" w:w="4803"/>
            <w:tcBorders>
              <w:top w:color="000000" w:space="0" w:sz="4" w:val="single"/>
              <w:left w:color="000000" w:space="0" w:sz="4" w:val="single"/>
              <w:bottom w:color="000000" w:space="0" w:sz="4" w:val="single"/>
              <w:right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rPr>
              <w:t>Discussion threads, journal notes, reflection papers.</w:t>
            </w:r>
          </w:p>
        </w:tc>
      </w:tr>
      <w:tr>
        <w:trPr>
          <w:trHeight w:hRule="atLeast" w:val="550"/>
          <w:cantSplit w:val="false"/>
        </w:trPr>
        <w:tc>
          <w:tcPr>
            <w:tcW w:type="dxa" w:w="4803"/>
            <w:tcBorders>
              <w:top w:color="000000" w:space="0" w:sz="4" w:val="single"/>
              <w:left w:color="000000" w:space="0" w:sz="4" w:val="single"/>
              <w:bottom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rPr>
              <w:t xml:space="preserve">Students will create a research paper grounded in principles of analysis, critical thinking and self reflection. </w:t>
            </w:r>
          </w:p>
        </w:tc>
        <w:tc>
          <w:tcPr>
            <w:tcW w:type="dxa" w:w="4803"/>
            <w:tcBorders>
              <w:top w:color="000000" w:space="0" w:sz="4" w:val="single"/>
              <w:left w:color="000000" w:space="0" w:sz="4" w:val="single"/>
              <w:bottom w:color="000000" w:space="0" w:sz="4" w:val="single"/>
              <w:right w:color="000000" w:space="0" w:sz="4" w:val="single"/>
            </w:tcBorders>
            <w:shd w:fill="auto" w:val="clear"/>
            <w:tcMar>
              <w:top w:type="dxa" w:w="0"/>
              <w:left w:type="dxa" w:w="108"/>
              <w:bottom w:type="dxa" w:w="0"/>
              <w:right w:type="dxa" w:w="108"/>
            </w:tcMar>
          </w:tcPr>
          <w:p>
            <w:pPr>
              <w:pStyle w:val="style0"/>
              <w:numPr>
                <w:ilvl w:val="0"/>
                <w:numId w:val="2"/>
              </w:numPr>
              <w:snapToGrid w:val="false"/>
              <w:spacing w:after="0" w:before="0" w:line="100" w:lineRule="atLeast"/>
              <w:contextualSpacing w:val="false"/>
            </w:pPr>
            <w:r>
              <w:rPr>
                <w:rFonts w:ascii="Times New Roman" w:cs="Times New Roman" w:eastAsia="Times New Roman" w:hAnsi="Times New Roman"/>
                <w:b/>
              </w:rPr>
              <w:t xml:space="preserve"> </w:t>
            </w:r>
            <w:r>
              <w:rPr>
                <w:rFonts w:ascii="Times New Roman" w:cs="Times New Roman" w:eastAsia="Times New Roman" w:hAnsi="Times New Roman"/>
                <w:b w:val="false"/>
                <w:bCs w:val="false"/>
              </w:rPr>
              <w:t xml:space="preserve">Signature assignment </w:t>
            </w:r>
          </w:p>
        </w:tc>
      </w:tr>
    </w:tbl>
    <w:p>
      <w:pPr>
        <w:pStyle w:val="style1"/>
        <w:numPr>
          <w:ilvl w:val="0"/>
          <w:numId w:val="2"/>
        </w:numPr>
      </w:pPr>
      <w:r>
        <w:rPr/>
        <w:t>University Policies</w:t>
      </w:r>
    </w:p>
    <w:p>
      <w:pPr>
        <w:pStyle w:val="style2"/>
        <w:numPr>
          <w:ilvl w:val="1"/>
          <w:numId w:val="3"/>
        </w:numPr>
        <w:ind w:hanging="0" w:left="518" w:right="0"/>
      </w:pPr>
      <w:r>
        <w:rPr/>
        <w:t>Attendance:</w:t>
      </w:r>
    </w:p>
    <w:p>
      <w:pPr>
        <w:pStyle w:val="style26"/>
      </w:pPr>
      <w:r>
        <w:rPr/>
        <w:t>Students are expected to attend regularly all courses for which they are registered. Attendance in online weeks means logging in and responding as directed by the specified deadline, at least twice a week. Students should notify their instructors when illness prevents them from attending class, and make arrangements to complete missed assignments. Notification may be done by sending an email to the instructor. It is the instructor’s prerogative to modify deadlines of course requirements accordingly. Any student who stops attending a course without officially withdrawing may receive a failing grade. Writing Standards: All work submitted by Chaminade University students must meet the following writing standards.</w:t>
      </w:r>
    </w:p>
    <w:p>
      <w:pPr>
        <w:pStyle w:val="style2"/>
        <w:numPr>
          <w:ilvl w:val="1"/>
          <w:numId w:val="3"/>
        </w:numPr>
        <w:ind w:hanging="0" w:left="518" w:right="0"/>
      </w:pPr>
      <w:r>
        <w:rPr/>
        <w:t>Written assignments should:</w:t>
      </w:r>
    </w:p>
    <w:p>
      <w:pPr>
        <w:pStyle w:val="style26"/>
        <w:numPr>
          <w:ilvl w:val="0"/>
          <w:numId w:val="5"/>
        </w:numPr>
      </w:pPr>
      <w:r>
        <w:rPr/>
        <w:t>Use correctly the grammar, spelling, punctuation, and sentence structure of Standard Written English.</w:t>
      </w:r>
    </w:p>
    <w:p>
      <w:pPr>
        <w:pStyle w:val="style26"/>
        <w:numPr>
          <w:ilvl w:val="0"/>
          <w:numId w:val="5"/>
        </w:numPr>
      </w:pPr>
      <w:r>
        <w:rPr/>
        <w:t>Develop ideas, themes, and main points coherently and concisely.</w:t>
      </w:r>
    </w:p>
    <w:p>
      <w:pPr>
        <w:pStyle w:val="style26"/>
        <w:numPr>
          <w:ilvl w:val="0"/>
          <w:numId w:val="5"/>
        </w:numPr>
      </w:pPr>
      <w:r>
        <w:rPr/>
        <w:t>Adopt modes and styles appropriate to their purpose and audience.</w:t>
      </w:r>
    </w:p>
    <w:p>
      <w:pPr>
        <w:pStyle w:val="style26"/>
        <w:numPr>
          <w:ilvl w:val="0"/>
          <w:numId w:val="5"/>
        </w:numPr>
      </w:pPr>
      <w:r>
        <w:rPr/>
        <w:t>Be clear, complete, and effective.</w:t>
      </w:r>
    </w:p>
    <w:p>
      <w:pPr>
        <w:pStyle w:val="style26"/>
      </w:pPr>
      <w:r>
        <w:rPr/>
        <w:t>Carefully analyze and synthesize material and ideas borrowed from sources. In addition, the sources of the borrowed material should be correctly acknowledged to avoid plagiarism. Plagiarism “Plagiarism is the offering of work of another as one's own.” Plagiarism is a serious offense and may include, but is not limited to, the following:</w:t>
      </w:r>
    </w:p>
    <w:p>
      <w:pPr>
        <w:pStyle w:val="style26"/>
        <w:numPr>
          <w:ilvl w:val="0"/>
          <w:numId w:val="6"/>
        </w:numPr>
      </w:pPr>
      <w:r>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pPr>
        <w:pStyle w:val="style26"/>
        <w:numPr>
          <w:ilvl w:val="0"/>
          <w:numId w:val="6"/>
        </w:numPr>
      </w:pPr>
      <w:r>
        <w:rPr/>
        <w:t>Paraphrasing the work of another without proper author acknowledgment.</w:t>
      </w:r>
    </w:p>
    <w:p>
      <w:pPr>
        <w:pStyle w:val="style26"/>
        <w:numPr>
          <w:ilvl w:val="0"/>
          <w:numId w:val="6"/>
        </w:numPr>
      </w:pPr>
      <w:r>
        <w:rPr/>
        <w:t>Submitting as one's own original work (however freely given or purchased) the original exam, research paper, manuscript, report, computer file, or other assignment that has been prepared by another individual.</w:t>
      </w:r>
    </w:p>
    <w:p>
      <w:pPr>
        <w:pStyle w:val="style26"/>
      </w:pPr>
      <w:r>
        <w:rPr>
          <w:i/>
          <w:iCs/>
        </w:rPr>
        <w:t>Please also note that the work done for this class should NOT contain work done for any other course. Your work should be ORIGINAL.</w:t>
      </w:r>
    </w:p>
    <w:p>
      <w:pPr>
        <w:pStyle w:val="style1"/>
        <w:numPr>
          <w:ilvl w:val="0"/>
          <w:numId w:val="2"/>
        </w:numPr>
      </w:pPr>
      <w:r>
        <w:rPr/>
        <w:t>Incompletes</w:t>
      </w:r>
    </w:p>
    <w:p>
      <w:pPr>
        <w:pStyle w:val="style26"/>
      </w:pPr>
      <w:r>
        <w:rPr/>
        <w:t>Incompletes may be given if the student is unable to complete a portion of the work due to circumstances beyond the control of the student. The incomplete contract must be signed by the student and instructor. It will specify when the work must be completed. Usually the work must be completed in 90 days, if it is not; the incomplete will revert to the grade the student would have earned that is specified on the incomplete form. Freedom of Expression: 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w:t>
      </w:r>
    </w:p>
    <w:p>
      <w:pPr>
        <w:pStyle w:val="style26"/>
      </w:pPr>
      <w:r>
        <w:rPr/>
        <w:t>Please refer to your</w:t>
      </w:r>
      <w:r>
        <w:rPr>
          <w:i/>
          <w:iCs/>
        </w:rPr>
        <w:t xml:space="preserve"> Student Handbook</w:t>
      </w:r>
      <w:r>
        <w:rPr/>
        <w:t xml:space="preserve">, </w:t>
      </w:r>
      <w:r>
        <w:rPr>
          <w:i/>
          <w:iCs/>
        </w:rPr>
        <w:t>General Catalog</w:t>
      </w:r>
      <w:r>
        <w:rPr/>
        <w:t xml:space="preserve">, and the </w:t>
      </w:r>
      <w:r>
        <w:rPr>
          <w:i/>
          <w:iCs/>
        </w:rPr>
        <w:t>Education Division Policy Manual</w:t>
      </w:r>
      <w:r>
        <w:rPr/>
        <w:t xml:space="preserve"> for other important institutional and academic policies including more detailed information regarding </w:t>
      </w:r>
      <w:r>
        <w:rPr>
          <w:b/>
          <w:bCs/>
        </w:rPr>
        <w:t>Plagiarism</w:t>
      </w:r>
      <w:r>
        <w:rPr/>
        <w:t xml:space="preserve">, Classroom department, Freedom of Expression, Add/Drop, Disabilities, and others. </w:t>
      </w:r>
    </w:p>
    <w:p>
      <w:pPr>
        <w:pStyle w:val="style26"/>
      </w:pPr>
      <w:r>
        <w:rPr/>
        <w:t xml:space="preserve">Other University Policies: </w:t>
      </w:r>
    </w:p>
    <w:p>
      <w:pPr>
        <w:pStyle w:val="style26"/>
      </w:pPr>
      <w:r>
        <w:rPr/>
        <w:t xml:space="preserve">Please refer to your </w:t>
      </w:r>
      <w:r>
        <w:rPr>
          <w:i/>
          <w:iCs/>
        </w:rPr>
        <w:t>Student Handbook</w:t>
      </w:r>
      <w:r>
        <w:rPr/>
        <w:t xml:space="preserve">, </w:t>
      </w:r>
      <w:r>
        <w:rPr>
          <w:i/>
          <w:iCs/>
        </w:rPr>
        <w:t>General Catalog</w:t>
      </w:r>
      <w:r>
        <w:rPr/>
        <w:t xml:space="preserve">, and the </w:t>
      </w:r>
      <w:r>
        <w:rPr>
          <w:i/>
          <w:iCs/>
        </w:rPr>
        <w:t>Education Division Policy Manual</w:t>
      </w:r>
      <w:r>
        <w:rPr/>
        <w:t xml:space="preserve"> for other important institutional and academic policies including more detailed information regarding Plagiarism, Classroom department, Freedom of Expression, Add/Drop, Disabilities, and others. </w:t>
      </w:r>
    </w:p>
    <w:p>
      <w:pPr>
        <w:pStyle w:val="style1"/>
        <w:numPr>
          <w:ilvl w:val="0"/>
          <w:numId w:val="2"/>
        </w:numPr>
      </w:pPr>
      <w:r>
        <w:rPr/>
        <w:t>Signature Assignment</w:t>
      </w:r>
    </w:p>
    <w:p>
      <w:pPr>
        <w:pStyle w:val="style2"/>
        <w:numPr>
          <w:ilvl w:val="1"/>
          <w:numId w:val="3"/>
        </w:numPr>
        <w:ind w:hanging="0" w:left="518" w:right="0"/>
      </w:pPr>
      <w:r>
        <w:rPr/>
        <w:t>Peace, Social Justice and Educational Transformation paper:</w:t>
      </w:r>
    </w:p>
    <w:p>
      <w:pPr>
        <w:pStyle w:val="style26"/>
      </w:pPr>
      <w:r>
        <w:rPr/>
        <w:t>Use corresponding subheadings to keep it clear: Each student will select a current issue education topic that will demonstrate your knowledge, understanding and ability to use the information from this course for educational change toward peace and justice. Use the following procedures:</w:t>
      </w:r>
    </w:p>
    <w:p>
      <w:pPr>
        <w:pStyle w:val="style26"/>
      </w:pPr>
      <w:r>
        <w:rPr/>
        <w:t>The paper will be written in narrative form with about 7 pages.</w:t>
      </w:r>
    </w:p>
    <w:p>
      <w:pPr>
        <w:pStyle w:val="style26"/>
      </w:pPr>
      <w:r>
        <w:rPr/>
        <w:t>The appendices and bibliography are not included in the 7 pages.</w:t>
      </w:r>
    </w:p>
    <w:p>
      <w:pPr>
        <w:pStyle w:val="style26"/>
      </w:pPr>
      <w:r>
        <w:rPr/>
        <w:t>The following questions will be researched and answered. The questions, followed by your answers will be formatted within your paper.</w:t>
      </w:r>
    </w:p>
    <w:p>
      <w:pPr>
        <w:pStyle w:val="style26"/>
        <w:numPr>
          <w:ilvl w:val="0"/>
          <w:numId w:val="7"/>
        </w:numPr>
      </w:pPr>
      <w:r>
        <w:rPr/>
        <w:t>What is the change?</w:t>
      </w:r>
    </w:p>
    <w:p>
      <w:pPr>
        <w:pStyle w:val="style26"/>
        <w:numPr>
          <w:ilvl w:val="0"/>
          <w:numId w:val="7"/>
        </w:numPr>
      </w:pPr>
      <w:r>
        <w:rPr/>
        <w:t>What are the causes of the needed change?</w:t>
      </w:r>
    </w:p>
    <w:p>
      <w:pPr>
        <w:pStyle w:val="style26"/>
        <w:numPr>
          <w:ilvl w:val="0"/>
          <w:numId w:val="7"/>
        </w:numPr>
      </w:pPr>
      <w:r>
        <w:rPr/>
        <w:t>What processes would you need to make the change; and what personnel would be involved?</w:t>
      </w:r>
    </w:p>
    <w:p>
      <w:pPr>
        <w:pStyle w:val="style26"/>
        <w:numPr>
          <w:ilvl w:val="0"/>
          <w:numId w:val="7"/>
        </w:numPr>
      </w:pPr>
      <w:r>
        <w:rPr/>
        <w:t>What benefits and outcomes will be made if the change is implemented?</w:t>
      </w:r>
    </w:p>
    <w:p>
      <w:pPr>
        <w:pStyle w:val="style26"/>
      </w:pPr>
      <w:r>
        <w:rPr/>
        <w:t>Use specific examples in the school or system (</w:t>
      </w:r>
      <w:r>
        <w:rPr>
          <w:i/>
          <w:iCs/>
        </w:rPr>
        <w:t>anonymously</w:t>
      </w:r>
      <w:r>
        <w:rPr/>
        <w:t>).</w:t>
      </w:r>
    </w:p>
    <w:p>
      <w:pPr>
        <w:pStyle w:val="style26"/>
      </w:pPr>
      <w:r>
        <w:rPr/>
        <w:t>Citations by experts (</w:t>
      </w:r>
      <w:r>
        <w:rPr>
          <w:i/>
          <w:iCs/>
        </w:rPr>
        <w:t>4 outside of our course textbooks</w:t>
      </w:r>
      <w:r>
        <w:rPr/>
        <w:t>) will be utilized in the paper to strengthen your important points, feelings and opinions. Therefore, feelings and opinions placed in the paper are based on facts.</w:t>
      </w:r>
    </w:p>
    <w:p>
      <w:pPr>
        <w:pStyle w:val="style26"/>
      </w:pPr>
      <w:r>
        <w:rPr/>
        <w:t>Use citations from at least 3 of the course textbooks.</w:t>
      </w:r>
    </w:p>
    <w:p>
      <w:pPr>
        <w:pStyle w:val="style26"/>
      </w:pPr>
      <w:r>
        <w:rPr>
          <w:b/>
          <w:bCs/>
        </w:rPr>
        <w:t>The APA Manual will be used for this paper.</w:t>
      </w:r>
    </w:p>
    <w:p>
      <w:pPr>
        <w:pStyle w:val="style26"/>
      </w:pPr>
      <w:r>
        <w:rPr/>
        <w:t>Any instances of plagiarism will receive a “zero”</w:t>
      </w:r>
    </w:p>
    <w:p>
      <w:pPr>
        <w:pStyle w:val="style1"/>
        <w:numPr>
          <w:ilvl w:val="0"/>
          <w:numId w:val="2"/>
        </w:numPr>
      </w:pPr>
      <w:r>
        <w:rPr/>
        <w:t>Grading</w:t>
      </w:r>
    </w:p>
    <w:tbl>
      <w:tblPr>
        <w:jc w:val="left"/>
        <w:tblInd w:type="dxa" w:w="-181"/>
        <w:tblBorders/>
      </w:tblPr>
      <w:tblGrid>
        <w:gridCol w:w="3837"/>
        <w:gridCol w:w="945"/>
      </w:tblGrid>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Discussions/Responses</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30</w:t>
            </w:r>
            <w:r>
              <w:rPr/>
              <w:t>%</w:t>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Journal</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1</w:t>
            </w:r>
            <w:r>
              <w:rPr/>
              <w:t>2</w:t>
            </w:r>
            <w:r>
              <w:rPr/>
              <w:t>%</w:t>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Reflection Papers</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28</w:t>
            </w:r>
            <w:r>
              <w:rPr/>
              <w:t>%</w:t>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Research</w:t>
            </w:r>
            <w:bookmarkStart w:id="0" w:name="_GoBack"/>
            <w:bookmarkEnd w:id="0"/>
            <w:r>
              <w:rPr/>
              <w:t xml:space="preserve"> paper-Signature Assignment</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30%</w:t>
            </w:r>
          </w:p>
        </w:tc>
      </w:tr>
      <w:tr>
        <w:trPr>
          <w:cantSplit w:val="false"/>
        </w:trPr>
        <w:tc>
          <w:tcPr>
            <w:tcW w:type="dxa" w:w="3837"/>
            <w:tcBorders>
              <w:top w:color="000001" w:space="0" w:sz="2" w:val="single"/>
              <w:bottom w:color="000001" w:space="0" w:sz="2" w:val="single"/>
            </w:tcBorders>
            <w:shd w:fill="FFFFFF" w:val="clear"/>
            <w:tcMar>
              <w:top w:type="dxa" w:w="0"/>
              <w:left w:type="dxa" w:w="108"/>
              <w:bottom w:type="dxa" w:w="0"/>
              <w:right w:type="dxa" w:w="108"/>
            </w:tcMar>
          </w:tcPr>
          <w:p>
            <w:pPr>
              <w:pStyle w:val="style26"/>
              <w:spacing w:after="120" w:before="0"/>
              <w:ind w:hanging="0" w:left="0" w:right="0"/>
              <w:contextualSpacing w:val="false"/>
            </w:pPr>
            <w:r>
              <w:rPr>
                <w:b/>
                <w:bCs/>
              </w:rPr>
              <w:t>Total</w:t>
            </w:r>
          </w:p>
        </w:tc>
        <w:tc>
          <w:tcPr>
            <w:tcW w:type="dxa" w:w="945"/>
            <w:tcBorders>
              <w:top w:color="000001" w:space="0" w:sz="2" w:val="single"/>
              <w:bottom w:color="000001" w:space="0" w:sz="2" w:val="single"/>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100%</w:t>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r>
          </w:p>
        </w:tc>
        <w:tc>
          <w:tcPr>
            <w:tcW w:type="dxa" w:w="945"/>
            <w:tcBorders/>
            <w:shd w:fill="FFFFFF" w:val="clear"/>
            <w:tcMar>
              <w:top w:type="dxa" w:w="0"/>
              <w:left w:type="dxa" w:w="108"/>
              <w:bottom w:type="dxa" w:w="0"/>
              <w:right w:type="dxa" w:w="108"/>
            </w:tcMar>
          </w:tcPr>
          <w:p>
            <w:pPr>
              <w:pStyle w:val="style0"/>
              <w:jc w:val="right"/>
            </w:pPr>
            <w:r>
              <w:rPr/>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90-100</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A</w:t>
            </w:r>
          </w:p>
        </w:tc>
      </w:tr>
      <w:tr>
        <w:trPr>
          <w:cantSplit w:val="false"/>
        </w:trPr>
        <w:tc>
          <w:tcPr>
            <w:tcW w:type="dxa" w:w="3837"/>
            <w:tcBorders/>
            <w:shd w:fill="FFFFFF" w:val="clear"/>
            <w:tcMar>
              <w:top w:type="dxa" w:w="0"/>
              <w:left w:type="dxa" w:w="108"/>
              <w:bottom w:type="dxa" w:w="0"/>
              <w:right w:type="dxa" w:w="108"/>
            </w:tcMar>
          </w:tcPr>
          <w:p>
            <w:pPr>
              <w:pStyle w:val="style26"/>
              <w:spacing w:after="120" w:before="0"/>
              <w:ind w:hanging="0" w:left="0" w:right="0"/>
              <w:contextualSpacing w:val="false"/>
            </w:pPr>
            <w:r>
              <w:rPr/>
              <w:t>80-89</w:t>
            </w:r>
          </w:p>
        </w:tc>
        <w:tc>
          <w:tcPr>
            <w:tcW w:type="dxa" w:w="945"/>
            <w:tcBorders/>
            <w:shd w:fill="FFFFFF" w:val="clear"/>
            <w:tcMar>
              <w:top w:type="dxa" w:w="0"/>
              <w:left w:type="dxa" w:w="108"/>
              <w:bottom w:type="dxa" w:w="0"/>
              <w:right w:type="dxa" w:w="108"/>
            </w:tcMar>
          </w:tcPr>
          <w:p>
            <w:pPr>
              <w:pStyle w:val="style26"/>
              <w:spacing w:after="120" w:before="0"/>
              <w:ind w:hanging="0" w:left="0" w:right="0"/>
              <w:contextualSpacing w:val="false"/>
              <w:jc w:val="right"/>
            </w:pPr>
            <w:r>
              <w:rPr/>
              <w:t>B</w:t>
            </w:r>
          </w:p>
        </w:tc>
      </w:tr>
    </w:tbl>
    <w:p>
      <w:pPr>
        <w:pStyle w:val="style1"/>
        <w:numPr>
          <w:ilvl w:val="0"/>
          <w:numId w:val="2"/>
        </w:numPr>
      </w:pPr>
      <w:r>
        <w:rPr/>
        <w:t>Other notes</w:t>
      </w:r>
    </w:p>
    <w:p>
      <w:pPr>
        <w:pStyle w:val="style2"/>
        <w:numPr>
          <w:ilvl w:val="1"/>
          <w:numId w:val="3"/>
        </w:numPr>
        <w:ind w:hanging="0" w:left="518" w:right="0"/>
      </w:pPr>
      <w:r>
        <w:rPr/>
        <w:t>Library</w:t>
      </w:r>
    </w:p>
    <w:p>
      <w:pPr>
        <w:pStyle w:val="style26"/>
      </w:pPr>
      <w:r>
        <w:rPr/>
        <w:t xml:space="preserve">  </w:t>
      </w:r>
      <w:r>
        <w:rPr/>
        <w:t>The link to the Chaminade library is www.chaminade.edu/library</w:t>
      </w:r>
    </w:p>
    <w:p>
      <w:pPr>
        <w:pStyle w:val="style2"/>
        <w:numPr>
          <w:ilvl w:val="1"/>
          <w:numId w:val="3"/>
        </w:numPr>
        <w:ind w:hanging="0" w:left="518" w:right="0"/>
      </w:pPr>
      <w:r>
        <w:rPr/>
        <w:t>Students With Disabilities</w:t>
      </w:r>
    </w:p>
    <w:p>
      <w:pPr>
        <w:pStyle w:val="style26"/>
      </w:pPr>
      <w:r>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p>
    <w:p>
      <w:pPr>
        <w:pStyle w:val="style26"/>
      </w:pPr>
      <w:r>
        <w:rPr/>
        <w:t>jyasuhar@chaminade.edu.</w:t>
      </w:r>
    </w:p>
    <w:p>
      <w:pPr>
        <w:pStyle w:val="style2"/>
        <w:numPr>
          <w:ilvl w:val="1"/>
          <w:numId w:val="3"/>
        </w:numPr>
        <w:ind w:hanging="0" w:left="518" w:right="0"/>
      </w:pPr>
      <w:r>
        <w:rPr/>
        <w:t>Technical Support</w:t>
      </w:r>
    </w:p>
    <w:p>
      <w:pPr>
        <w:pStyle w:val="style26"/>
      </w:pPr>
      <w:r>
        <w:rPr/>
        <w:t>For technical questions: contact the Chaminade eCollege helpdesk at:     helpdesk@chaminade.ecollege.com, or call toll free at: (866) 647-0654.</w:t>
      </w:r>
    </w:p>
    <w:p>
      <w:pPr>
        <w:pStyle w:val="style2"/>
        <w:numPr>
          <w:ilvl w:val="1"/>
          <w:numId w:val="3"/>
        </w:numPr>
        <w:ind w:hanging="0" w:left="518" w:right="0"/>
      </w:pPr>
      <w:r>
        <w:rPr/>
        <w:t>eCollege Account Support</w:t>
      </w:r>
    </w:p>
    <w:p>
      <w:pPr>
        <w:pStyle w:val="style26"/>
      </w:pPr>
      <w:r>
        <w:rPr/>
      </w:r>
    </w:p>
    <w:p>
      <w:pPr>
        <w:pStyle w:val="style26"/>
      </w:pPr>
      <w:r>
        <w:rPr/>
        <w:t>Call 808-739-8327 or email jnakason@chaminade.edu.</w:t>
      </w:r>
    </w:p>
    <w:p>
      <w:pPr>
        <w:pStyle w:val="style1"/>
        <w:numPr>
          <w:ilvl w:val="0"/>
          <w:numId w:val="2"/>
        </w:numPr>
      </w:pPr>
      <w:r>
        <w:rPr/>
        <w:t>Schedule of Assignments</w:t>
      </w:r>
    </w:p>
    <w:p>
      <w:pPr>
        <w:pStyle w:val="style26"/>
        <w:spacing w:after="120" w:before="0"/>
        <w:contextualSpacing w:val="false"/>
      </w:pPr>
      <w:r>
        <w:rPr/>
        <w:t>Please consult the course item titled “Assignments and Due Dates.”</w:t>
      </w:r>
    </w:p>
    <w:sectPr>
      <w:headerReference r:id="rId5" w:type="default"/>
      <w:type w:val="nextPage"/>
      <w:pgSz w:h="15840" w:w="12240"/>
      <w:pgMar w:bottom="1134" w:footer="0" w:gutter="0" w:header="72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Symbol">
    <w:charset w:val="02"/>
    <w:family w:val="auto"/>
    <w:pitch w:val="variable"/>
  </w:font>
  <w:font w:name="OpenSymbol">
    <w:altName w:val="Arial Unicode MS"/>
    <w:charset w:val="80"/>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tabs>
        <w:tab w:leader="none" w:pos="4680" w:val="center"/>
        <w:tab w:leader="none" w:pos="9360" w:val="right"/>
      </w:tabs>
      <w:spacing w:line="100" w:lineRule="atLeast"/>
      <w:jc w:val="center"/>
    </w:pPr>
    <w:r>
      <w:rPr/>
      <w:t>Chaminade University-Honolulu</w:t>
    </w:r>
  </w:p>
  <w:p>
    <w:pPr>
      <w:pStyle w:val="style0"/>
      <w:tabs>
        <w:tab w:leader="none" w:pos="4680" w:val="center"/>
        <w:tab w:leader="none" w:pos="9360" w:val="right"/>
      </w:tabs>
      <w:spacing w:line="100" w:lineRule="atLeast"/>
      <w:jc w:val="center"/>
    </w:pPr>
    <w:r>
      <w:rPr>
        <w:rStyle w:val="style18"/>
        <w:rFonts w:ascii="Verdana" w:cs="Verdana" w:hAnsi="Verdana"/>
      </w:rPr>
      <w:t>EDUC-790-90/</w:t>
    </w:r>
    <w:r>
      <w:rPr>
        <w:rStyle w:val="style18"/>
        <w:rFonts w:ascii="Verdana" w:cs="Verdana" w:hAnsi="Verdana"/>
      </w:rPr>
      <w:t>91</w:t>
    </w:r>
    <w:r>
      <w:rPr>
        <w:sz w:val="20"/>
      </w:rPr>
      <w:br/>
      <w:t>Issues Of Peace, Social Justice, And Educational Reform</w:t>
    </w:r>
  </w:p>
  <w:p>
    <w:pPr>
      <w:pStyle w:val="style0"/>
      <w:tabs>
        <w:tab w:leader="none" w:pos="4680" w:val="center"/>
        <w:tab w:leader="none" w:pos="9360" w:val="right"/>
      </w:tabs>
      <w:spacing w:line="100" w:lineRule="atLeast"/>
      <w:jc w:val="center"/>
    </w:pPr>
    <w:r>
      <w:rPr>
        <w:sz w:val="20"/>
      </w:rPr>
      <w:t>Winter</w:t>
    </w:r>
    <w:r>
      <w:rPr>
        <w:sz w:val="20"/>
      </w:rPr>
      <w:t xml:space="preserve"> 2012</w:t>
    </w:r>
  </w:p>
  <w:p>
    <w:pPr>
      <w:pStyle w:val="style0"/>
      <w:tabs>
        <w:tab w:leader="none" w:pos="4680" w:val="center"/>
        <w:tab w:leader="none" w:pos="9360" w:val="right"/>
      </w:tabs>
      <w:spacing w:line="100" w:lineRule="atLeast"/>
      <w:jc w:val="center"/>
    </w:pPr>
    <w:r>
      <w:rPr>
        <w:sz w:val="20"/>
      </w:rPr>
      <w:t>The Rev.</w:t>
    </w:r>
    <w:r>
      <w:rPr>
        <w:sz w:val="20"/>
      </w:rPr>
      <w:t>Dale Hathaway</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tabs>
        <w:tab w:leader="none" w:pos="4680" w:val="center"/>
        <w:tab w:leader="none" w:pos="9360" w:val="right"/>
      </w:tabs>
      <w:spacing w:line="100" w:lineRule="atLeast"/>
      <w:jc w:val="center"/>
    </w:pPr>
    <w:r>
      <w:rPr/>
      <w:t>Chaminade University-Honolulu</w:t>
    </w:r>
  </w:p>
  <w:p>
    <w:pPr>
      <w:pStyle w:val="style0"/>
      <w:tabs>
        <w:tab w:leader="none" w:pos="4680" w:val="center"/>
        <w:tab w:leader="none" w:pos="9360" w:val="right"/>
      </w:tabs>
      <w:spacing w:line="100" w:lineRule="atLeast"/>
      <w:jc w:val="center"/>
    </w:pPr>
    <w:r>
      <w:rPr>
        <w:rStyle w:val="style18"/>
        <w:rFonts w:ascii="Verdana" w:cs="Verdana" w:hAnsi="Verdana"/>
      </w:rPr>
      <w:t>EDUC-790-90/</w:t>
    </w:r>
    <w:r>
      <w:rPr>
        <w:rStyle w:val="style18"/>
        <w:rFonts w:ascii="Verdana" w:cs="Verdana" w:hAnsi="Verdana"/>
      </w:rPr>
      <w:t>91</w:t>
    </w:r>
    <w:r>
      <w:rPr>
        <w:sz w:val="20"/>
      </w:rPr>
      <w:br/>
      <w:t>Issues Of Peace, Social Justice, And Educational Reform</w:t>
    </w:r>
  </w:p>
  <w:p>
    <w:pPr>
      <w:pStyle w:val="style0"/>
      <w:tabs>
        <w:tab w:leader="none" w:pos="4680" w:val="center"/>
        <w:tab w:leader="none" w:pos="9360" w:val="right"/>
      </w:tabs>
      <w:spacing w:line="100" w:lineRule="atLeast"/>
      <w:jc w:val="center"/>
    </w:pPr>
    <w:r>
      <w:rPr>
        <w:sz w:val="20"/>
      </w:rPr>
      <w:t>Winter</w:t>
    </w:r>
    <w:r>
      <w:rPr>
        <w:sz w:val="20"/>
      </w:rPr>
      <w:t xml:space="preserve"> 2012</w:t>
    </w:r>
  </w:p>
  <w:p>
    <w:pPr>
      <w:pStyle w:val="style0"/>
      <w:tabs>
        <w:tab w:leader="none" w:pos="4680" w:val="center"/>
        <w:tab w:leader="none" w:pos="9360" w:val="right"/>
      </w:tabs>
      <w:spacing w:line="100" w:lineRule="atLeast"/>
      <w:jc w:val="center"/>
    </w:pPr>
    <w:r>
      <w:rPr>
        <w:sz w:val="20"/>
      </w:rPr>
      <w:t>The Rev.</w:t>
    </w:r>
    <w:r>
      <w:rPr>
        <w:sz w:val="20"/>
      </w:rPr>
      <w:t>Dale Hathaway</w:t>
    </w:r>
  </w:p>
</w:hdr>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none"/>
      <w:suff w:val="nothing"/>
      <w:lvlText w:val=""/>
      <w:lvlJc w:val="left"/>
      <w:pPr>
        <w:ind w:hanging="432" w:left="432"/>
      </w:pPr>
    </w:lvl>
    <w:lvl w:ilvl="1">
      <w:start w:val="1"/>
      <w:numFmt w:val="none"/>
      <w:suff w:val="nothing"/>
      <w:lvlText w:val=""/>
      <w:lvlJc w:val="left"/>
      <w:pPr>
        <w:ind w:hanging="576" w:left="576"/>
      </w:pPr>
    </w:lvl>
    <w:lvl w:ilvl="2">
      <w:start w:val="1"/>
      <w:numFmt w:val="none"/>
      <w:suff w:val="nothing"/>
      <w:lvlText w:val=""/>
      <w:lvlJc w:val="left"/>
      <w:pPr>
        <w:ind w:hanging="720" w:left="720"/>
      </w:pPr>
    </w:lvl>
    <w:lvl w:ilvl="3">
      <w:start w:val="1"/>
      <w:numFmt w:val="none"/>
      <w:suff w:val="nothing"/>
      <w:lvlText w:val=""/>
      <w:lvlJc w:val="left"/>
      <w:pPr>
        <w:ind w:hanging="864" w:left="864"/>
      </w:pPr>
    </w:lvl>
    <w:lvl w:ilvl="4">
      <w:start w:val="1"/>
      <w:numFmt w:val="none"/>
      <w:suff w:val="nothing"/>
      <w:lvlText w:val=""/>
      <w:lvlJc w:val="left"/>
      <w:pPr>
        <w:ind w:hanging="1008" w:left="1008"/>
      </w:pPr>
    </w:lvl>
    <w:lvl w:ilvl="5">
      <w:start w:val="1"/>
      <w:numFmt w:val="none"/>
      <w:suff w:val="nothing"/>
      <w:lvlText w:val=""/>
      <w:lvlJc w:val="left"/>
      <w:pPr>
        <w:ind w:hanging="1152" w:left="1152"/>
      </w:pPr>
    </w:lvl>
    <w:lvl w:ilvl="6">
      <w:start w:val="1"/>
      <w:numFmt w:val="none"/>
      <w:suff w:val="nothing"/>
      <w:lvlText w:val=""/>
      <w:lvlJc w:val="left"/>
      <w:pPr>
        <w:ind w:hanging="1296" w:left="1296"/>
      </w:pPr>
    </w:lvl>
    <w:lvl w:ilvl="7">
      <w:start w:val="1"/>
      <w:numFmt w:val="none"/>
      <w:suff w:val="nothing"/>
      <w:lvlText w:val=""/>
      <w:lvlJc w:val="left"/>
      <w:pPr>
        <w:ind w:hanging="1440" w:left="1440"/>
      </w:pPr>
    </w:lvl>
    <w:lvl w:ilvl="8">
      <w:start w:val="1"/>
      <w:numFmt w:val="none"/>
      <w:suff w:val="nothing"/>
      <w:lvlText w:val=""/>
      <w:lvlJc w:val="left"/>
      <w:pPr>
        <w:ind w:hanging="1584" w:left="1584"/>
      </w:pPr>
    </w:lvl>
  </w:abstractNum>
  <w:abstractNum w:abstractNumId="3">
    <w:lvl w:ilvl="0">
      <w:start w:val="1"/>
      <w:numFmt w:val="none"/>
      <w:suff w:val="nothing"/>
      <w:lvlText w:val=""/>
      <w:lvlJc w:val="left"/>
      <w:pPr>
        <w:ind w:hanging="432" w:left="432"/>
      </w:pPr>
    </w:lvl>
    <w:lvl w:ilvl="1">
      <w:start w:val="1"/>
      <w:numFmt w:val="none"/>
      <w:suff w:val="nothing"/>
      <w:lvlText w:val=""/>
      <w:lvlJc w:val="left"/>
      <w:pPr>
        <w:ind w:hanging="576" w:left="576"/>
      </w:pPr>
    </w:lvl>
    <w:lvl w:ilvl="2">
      <w:start w:val="1"/>
      <w:numFmt w:val="none"/>
      <w:suff w:val="nothing"/>
      <w:lvlText w:val=""/>
      <w:lvlJc w:val="left"/>
      <w:pPr>
        <w:ind w:hanging="720" w:left="720"/>
      </w:pPr>
    </w:lvl>
    <w:lvl w:ilvl="3">
      <w:start w:val="1"/>
      <w:numFmt w:val="none"/>
      <w:suff w:val="nothing"/>
      <w:lvlText w:val=""/>
      <w:lvlJc w:val="left"/>
      <w:pPr>
        <w:ind w:hanging="864" w:left="864"/>
      </w:pPr>
    </w:lvl>
    <w:lvl w:ilvl="4">
      <w:start w:val="1"/>
      <w:numFmt w:val="none"/>
      <w:suff w:val="nothing"/>
      <w:lvlText w:val=""/>
      <w:lvlJc w:val="left"/>
      <w:pPr>
        <w:ind w:hanging="1008" w:left="1008"/>
      </w:pPr>
    </w:lvl>
    <w:lvl w:ilvl="5">
      <w:start w:val="1"/>
      <w:numFmt w:val="none"/>
      <w:suff w:val="nothing"/>
      <w:lvlText w:val=""/>
      <w:lvlJc w:val="left"/>
      <w:pPr>
        <w:ind w:hanging="1152" w:left="1152"/>
      </w:pPr>
    </w:lvl>
    <w:lvl w:ilvl="6">
      <w:start w:val="1"/>
      <w:numFmt w:val="none"/>
      <w:suff w:val="nothing"/>
      <w:lvlText w:val=""/>
      <w:lvlJc w:val="left"/>
      <w:pPr>
        <w:ind w:hanging="1296" w:left="1296"/>
      </w:pPr>
    </w:lvl>
    <w:lvl w:ilvl="7">
      <w:start w:val="1"/>
      <w:numFmt w:val="none"/>
      <w:suff w:val="nothing"/>
      <w:lvlText w:val=""/>
      <w:lvlJc w:val="left"/>
      <w:pPr>
        <w:ind w:hanging="1440" w:left="1440"/>
      </w:pPr>
    </w:lvl>
    <w:lvl w:ilvl="8">
      <w:start w:val="1"/>
      <w:numFmt w:val="none"/>
      <w:suff w:val="nothing"/>
      <w:lvlText w:val=""/>
      <w:lvlJc w:val="left"/>
      <w:pPr>
        <w:ind w:hanging="1584" w:left="1584"/>
      </w:pPr>
    </w:lvl>
  </w:abstractNum>
  <w:abstractNum w:abstractNumId="4">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abstractNum w:abstractNumId="5">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abstractNum w:abstractNumId="6">
    <w:lvl w:ilvl="0">
      <w:start w:val="1"/>
      <w:numFmt w:val="bullet"/>
      <w:lvlText w:val=""/>
      <w:lvlJc w:val="left"/>
      <w:pPr>
        <w:ind w:hanging="360" w:left="720"/>
      </w:pPr>
      <w:rPr>
        <w:rFonts w:ascii="Symbol" w:cs="Symbol" w:hAnsi="Symbol" w:hint="default"/>
      </w:rPr>
    </w:lvl>
    <w:lvl w:ilvl="1">
      <w:start w:val="1"/>
      <w:numFmt w:val="bullet"/>
      <w:lvlText w:val="◦"/>
      <w:lvlJc w:val="left"/>
      <w:pPr>
        <w:ind w:hanging="360" w:left="1080"/>
      </w:pPr>
      <w:rPr>
        <w:rFonts w:ascii="OpenSymbol" w:cs="OpenSymbol" w:hAnsi="OpenSymbol" w:hint="default"/>
      </w:rPr>
    </w:lvl>
    <w:lvl w:ilvl="2">
      <w:start w:val="1"/>
      <w:numFmt w:val="bullet"/>
      <w:lvlText w:val="▪"/>
      <w:lvlJc w:val="left"/>
      <w:pPr>
        <w:ind w:hanging="360" w:left="1440"/>
      </w:pPr>
      <w:rPr>
        <w:rFonts w:ascii="OpenSymbol" w:cs="OpenSymbol" w:hAnsi="OpenSymbol" w:hint="default"/>
      </w:rPr>
    </w:lvl>
    <w:lvl w:ilvl="3">
      <w:start w:val="1"/>
      <w:numFmt w:val="bullet"/>
      <w:lvlText w:val=""/>
      <w:lvlJc w:val="left"/>
      <w:pPr>
        <w:ind w:hanging="360" w:left="1800"/>
      </w:pPr>
      <w:rPr>
        <w:rFonts w:ascii="Symbol" w:cs="Symbol" w:hAnsi="Symbol" w:hint="default"/>
      </w:rPr>
    </w:lvl>
    <w:lvl w:ilvl="4">
      <w:start w:val="1"/>
      <w:numFmt w:val="bullet"/>
      <w:lvlText w:val="◦"/>
      <w:lvlJc w:val="left"/>
      <w:pPr>
        <w:ind w:hanging="360" w:left="2160"/>
      </w:pPr>
      <w:rPr>
        <w:rFonts w:ascii="OpenSymbol" w:cs="OpenSymbol" w:hAnsi="OpenSymbol" w:hint="default"/>
      </w:rPr>
    </w:lvl>
    <w:lvl w:ilvl="5">
      <w:start w:val="1"/>
      <w:numFmt w:val="bullet"/>
      <w:lvlText w:val="▪"/>
      <w:lvlJc w:val="left"/>
      <w:pPr>
        <w:ind w:hanging="360" w:left="2520"/>
      </w:pPr>
      <w:rPr>
        <w:rFonts w:ascii="OpenSymbol" w:cs="OpenSymbol" w:hAnsi="OpenSymbol" w:hint="default"/>
      </w:rPr>
    </w:lvl>
    <w:lvl w:ilvl="6">
      <w:start w:val="1"/>
      <w:numFmt w:val="bullet"/>
      <w:lvlText w:val=""/>
      <w:lvlJc w:val="left"/>
      <w:pPr>
        <w:ind w:hanging="360" w:left="2880"/>
      </w:pPr>
      <w:rPr>
        <w:rFonts w:ascii="Symbol" w:cs="Symbol" w:hAnsi="Symbol" w:hint="default"/>
      </w:rPr>
    </w:lvl>
    <w:lvl w:ilvl="7">
      <w:start w:val="1"/>
      <w:numFmt w:val="bullet"/>
      <w:lvlText w:val="◦"/>
      <w:lvlJc w:val="left"/>
      <w:pPr>
        <w:ind w:hanging="360" w:left="3240"/>
      </w:pPr>
      <w:rPr>
        <w:rFonts w:ascii="OpenSymbol" w:cs="OpenSymbol" w:hAnsi="OpenSymbol" w:hint="default"/>
      </w:rPr>
    </w:lvl>
    <w:lvl w:ilvl="8">
      <w:start w:val="1"/>
      <w:numFmt w:val="bullet"/>
      <w:lvlText w:val="▪"/>
      <w:lvlJc w:val="left"/>
      <w:pPr>
        <w:ind w:hanging="360" w:left="3600"/>
      </w:pPr>
      <w:rPr>
        <w:rFonts w:ascii="OpenSymbol" w:cs="OpenSymbol" w:hAnsi="OpenSymbol" w:hint="default"/>
      </w:rPr>
    </w:lvl>
  </w:abstractNum>
  <w:abstractNum w:abstractNumId="7">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settings>
</file>

<file path=word/styles.xml><?xml version="1.0" encoding="utf-8"?>
<w:styles xmlns:w="http://schemas.openxmlformats.org/wordprocessingml/2006/main">
  <w:style w:styleId="style0" w:type="paragraph">
    <w:name w:val="Normal"/>
    <w:next w:val="style0"/>
    <w:pPr>
      <w:widowControl/>
      <w:tabs/>
      <w:suppressAutoHyphens w:val="true"/>
      <w:textAlignment w:val="baseline"/>
    </w:pPr>
    <w:rPr>
      <w:rFonts w:ascii="Times New Roman" w:cs="Lohit Hindi" w:eastAsia="Arial Unicode MS" w:hAnsi="Times New Roman"/>
      <w:color w:val="00000A"/>
      <w:sz w:val="24"/>
      <w:szCs w:val="24"/>
      <w:lang w:bidi="hi-IN" w:eastAsia="zh-CN" w:val="en-US"/>
    </w:rPr>
  </w:style>
  <w:style w:styleId="style1" w:type="paragraph">
    <w:name w:val="Heading 1"/>
    <w:basedOn w:val="style25"/>
    <w:next w:val="style26"/>
    <w:pPr/>
    <w:rPr>
      <w:rFonts w:ascii="Liberation Serif" w:hAnsi="Liberation Serif"/>
      <w:b/>
      <w:bCs/>
      <w:color w:val="000080"/>
    </w:rPr>
  </w:style>
  <w:style w:styleId="style2" w:type="paragraph">
    <w:name w:val="Heading 2"/>
    <w:basedOn w:val="style25"/>
    <w:next w:val="style26"/>
    <w:pPr>
      <w:numPr>
        <w:ilvl w:val="1"/>
        <w:numId w:val="1"/>
      </w:numPr>
      <w:spacing w:after="115" w:before="0"/>
      <w:ind w:hanging="0" w:left="518" w:right="0"/>
      <w:contextualSpacing w:val="false"/>
      <w:outlineLvl w:val="1"/>
    </w:pPr>
    <w:rPr>
      <w:rFonts w:ascii="Liberation Serif" w:hAnsi="Liberation Serif"/>
      <w:b/>
      <w:bCs/>
      <w:i/>
      <w:iCs/>
      <w:color w:val="000080"/>
    </w:rPr>
  </w:style>
  <w:style w:styleId="style15" w:type="character">
    <w:name w:val="Default Paragraph Font"/>
    <w:next w:val="style15"/>
    <w:rPr/>
  </w:style>
  <w:style w:styleId="style16" w:type="character">
    <w:name w:val="Bullets"/>
    <w:next w:val="style16"/>
    <w:rPr>
      <w:rFonts w:ascii="OpenSymbol" w:cs="OpenSymbol" w:eastAsia="OpenSymbol" w:hAnsi="OpenSymbol"/>
    </w:rPr>
  </w:style>
  <w:style w:styleId="style17" w:type="character">
    <w:name w:val="WW-Default Paragraph Font"/>
    <w:next w:val="style17"/>
    <w:rPr/>
  </w:style>
  <w:style w:styleId="style18" w:type="character">
    <w:name w:val="Internet Link"/>
    <w:basedOn w:val="style17"/>
    <w:next w:val="style18"/>
    <w:rPr>
      <w:color w:val="0000FF"/>
      <w:u w:val="single"/>
      <w:lang w:bidi="en-US" w:eastAsia="en-US" w:val="en-US"/>
    </w:rPr>
  </w:style>
  <w:style w:styleId="style19" w:type="character">
    <w:name w:val="ListLabel 1"/>
    <w:next w:val="style19"/>
    <w:rPr>
      <w:rFonts w:cs="OpenSymbol" w:eastAsia="OpenSymbol"/>
    </w:rPr>
  </w:style>
  <w:style w:styleId="style20" w:type="character">
    <w:name w:val="Emphasis"/>
    <w:next w:val="style20"/>
    <w:rPr>
      <w:i/>
      <w:iCs/>
    </w:rPr>
  </w:style>
  <w:style w:styleId="style21" w:type="character">
    <w:name w:val="ListLabel 2"/>
    <w:next w:val="style21"/>
    <w:rPr>
      <w:rFonts w:cs="Symbol"/>
    </w:rPr>
  </w:style>
  <w:style w:styleId="style22" w:type="character">
    <w:name w:val="ListLabel 3"/>
    <w:next w:val="style22"/>
    <w:rPr>
      <w:rFonts w:cs="OpenSymbol"/>
    </w:rPr>
  </w:style>
  <w:style w:styleId="style23" w:type="character">
    <w:name w:val="ListLabel 4"/>
    <w:next w:val="style23"/>
    <w:rPr>
      <w:rFonts w:cs="Symbol"/>
    </w:rPr>
  </w:style>
  <w:style w:styleId="style24" w:type="character">
    <w:name w:val="ListLabel 5"/>
    <w:next w:val="style24"/>
    <w:rPr>
      <w:rFonts w:cs="OpenSymbol"/>
    </w:rPr>
  </w:style>
  <w:style w:styleId="style25" w:type="paragraph">
    <w:name w:val="Heading"/>
    <w:basedOn w:val="style0"/>
    <w:next w:val="style26"/>
    <w:pPr>
      <w:keepNext/>
      <w:spacing w:after="120" w:before="240"/>
      <w:contextualSpacing w:val="false"/>
    </w:pPr>
    <w:rPr>
      <w:rFonts w:ascii="Arial" w:cs="Lohit Hindi" w:eastAsia="微软雅黑" w:hAnsi="Arial"/>
      <w:sz w:val="28"/>
      <w:szCs w:val="28"/>
    </w:rPr>
  </w:style>
  <w:style w:styleId="style26" w:type="paragraph">
    <w:name w:val="Text body"/>
    <w:basedOn w:val="style0"/>
    <w:next w:val="style26"/>
    <w:pPr>
      <w:spacing w:after="120" w:before="0"/>
      <w:ind w:hanging="0" w:left="950" w:right="0"/>
      <w:contextualSpacing w:val="false"/>
    </w:pPr>
    <w:rPr/>
  </w:style>
  <w:style w:styleId="style27" w:type="paragraph">
    <w:name w:val="List"/>
    <w:basedOn w:val="style26"/>
    <w:next w:val="style27"/>
    <w:pPr/>
    <w:rPr>
      <w:rFonts w:cs="Lohit Hindi"/>
    </w:rPr>
  </w:style>
  <w:style w:styleId="style28" w:type="paragraph">
    <w:name w:val="Caption"/>
    <w:basedOn w:val="style0"/>
    <w:next w:val="style28"/>
    <w:pPr>
      <w:suppressLineNumbers/>
      <w:spacing w:after="120" w:before="120"/>
      <w:contextualSpacing w:val="false"/>
    </w:pPr>
    <w:rPr>
      <w:rFonts w:cs="Lohit Hindi"/>
      <w:i/>
      <w:iCs/>
      <w:sz w:val="24"/>
      <w:szCs w:val="24"/>
    </w:rPr>
  </w:style>
  <w:style w:styleId="style29" w:type="paragraph">
    <w:name w:val="Index"/>
    <w:basedOn w:val="style0"/>
    <w:next w:val="style29"/>
    <w:pPr>
      <w:suppressLineNumbers/>
    </w:pPr>
    <w:rPr>
      <w:rFonts w:cs="Lohit Hindi"/>
    </w:rPr>
  </w:style>
  <w:style w:styleId="style30" w:type="paragraph">
    <w:name w:val="caption"/>
    <w:basedOn w:val="style0"/>
    <w:next w:val="style30"/>
    <w:pPr>
      <w:suppressLineNumbers/>
      <w:spacing w:after="120" w:before="120"/>
      <w:contextualSpacing w:val="false"/>
    </w:pPr>
    <w:rPr>
      <w:i/>
      <w:iCs/>
    </w:rPr>
  </w:style>
  <w:style w:styleId="style31" w:type="paragraph">
    <w:name w:val="Table Contents"/>
    <w:basedOn w:val="style0"/>
    <w:next w:val="style31"/>
    <w:pPr>
      <w:suppressLineNumbers/>
    </w:pPr>
    <w:rPr/>
  </w:style>
  <w:style w:styleId="style32" w:type="paragraph">
    <w:name w:val="Table Heading"/>
    <w:basedOn w:val="style31"/>
    <w:next w:val="style32"/>
    <w:pPr>
      <w:suppressLineNumbers/>
      <w:jc w:val="center"/>
    </w:pPr>
    <w:rPr>
      <w:b/>
      <w:bCs/>
    </w:rPr>
  </w:style>
  <w:style w:styleId="style33" w:type="paragraph">
    <w:name w:val="Header"/>
    <w:basedOn w:val="style0"/>
    <w:next w:val="style33"/>
    <w:pPr>
      <w:suppressLineNumbers/>
      <w:tabs>
        <w:tab w:leader="none" w:pos="4986" w:val="center"/>
        <w:tab w:leader="none" w:pos="9972" w:val="right"/>
      </w:tabs>
    </w:pPr>
    <w:rPr/>
  </w:style>
  <w:style w:styleId="style34" w:type="paragraph">
    <w:name w:val="Hanging Indent"/>
    <w:basedOn w:val="style26"/>
    <w:next w:val="style34"/>
    <w:pPr>
      <w:tabs/>
      <w:ind w:hanging="315" w:left="950" w:right="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ale.hathaway@chaminade.edu" TargetMode="External"/><Relationship Id="rId3" Type="http://schemas.openxmlformats.org/officeDocument/2006/relationships/hyperlink" Target="mailto:dhath12@gmail.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33</TotalTime>
  <Application>LibreOffice/3.6$Linux_x86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2012-03-31T21:09:00.00Z</dcterms:created>
  <dc:creator>Dale</dc:creator>
  <cp:lastModifiedBy>Dale</cp:lastModifiedBy>
  <dcterms:modified xsi:type="dcterms:W3CDTF">2012-04-03T18:09:00.00Z</dcterms:modified>
  <cp:revision>1</cp:revision>
</cp:coreProperties>
</file>