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44"/>
        <w:spacing w:after="120" w:before="240"/>
        <w:contextualSpacing w:val="false"/>
      </w:pPr>
      <w:r>
        <w:rPr/>
        <w:t>Chaminade University</w:t>
      </w:r>
    </w:p>
    <w:p>
      <w:pPr>
        <w:pStyle w:val="style45"/>
      </w:pPr>
      <w:r>
        <w:rPr/>
        <w:t xml:space="preserve">Introduction to Education – Ed 220 </w:t>
        <w:br/>
        <w:t xml:space="preserve">Spring - 2013 </w:t>
      </w:r>
    </w:p>
    <w:p>
      <w:pPr>
        <w:sectPr>
          <w:footerReference r:id="rId2" w:type="default"/>
          <w:type w:val="nextPage"/>
          <w:pgSz w:h="16838" w:w="11906"/>
          <w:pgMar w:bottom="1693" w:footer="1134" w:gutter="0" w:header="0" w:left="1134" w:right="1134" w:top="1134"/>
          <w:pgNumType w:fmt="decimal"/>
          <w:formProt w:val="false"/>
          <w:textDirection w:val="lrTb"/>
          <w:docGrid w:charSpace="0" w:linePitch="240" w:type="default"/>
        </w:sectPr>
      </w:pPr>
    </w:p>
    <w:p>
      <w:pPr>
        <w:pStyle w:val="style53"/>
      </w:pPr>
      <w:r>
        <w:rPr/>
        <w:t>Contents</w:t>
      </w:r>
    </w:p>
    <w:p>
      <w:pPr>
        <w:sectPr>
          <w:type w:val="continuous"/>
          <w:pgSz w:h="16838" w:w="11906"/>
          <w:pgMar w:bottom="1693" w:footer="1134" w:gutter="0" w:header="0" w:left="1134" w:right="1134" w:top="1134"/>
          <w:formProt w:val="false"/>
          <w:textDirection w:val="lrTb"/>
          <w:docGrid w:charSpace="0" w:linePitch="240" w:type="default"/>
        </w:sectPr>
      </w:pPr>
    </w:p>
    <w:p>
      <w:pPr>
        <w:pStyle w:val="style54"/>
        <w:tabs>
          <w:tab w:leader="dot" w:pos="9638" w:val="right"/>
        </w:tabs>
      </w:pPr>
      <w:r>
        <w:fldChar w:fldCharType="begin"/>
      </w:r>
      <w:r>
        <w:instrText> TOC \f \o "1-3" \o "1-3" \h</w:instrText>
      </w:r>
      <w:r>
        <w:fldChar w:fldCharType="separate"/>
      </w:r>
      <w:hyperlink w:anchor="__RefHeading__779_1559379828">
        <w:r>
          <w:rPr>
            <w:rStyle w:val="style36"/>
          </w:rPr>
          <w:t>Course Description:</w:t>
          <w:tab/>
          <w:t>2</w:t>
        </w:r>
      </w:hyperlink>
    </w:p>
    <w:p>
      <w:pPr>
        <w:pStyle w:val="style54"/>
        <w:tabs>
          <w:tab w:leader="dot" w:pos="9638" w:val="right"/>
        </w:tabs>
      </w:pPr>
      <w:hyperlink w:anchor="__RefHeading__781_1559379828">
        <w:r>
          <w:rPr>
            <w:rStyle w:val="style36"/>
          </w:rPr>
          <w:t>Texts:</w:t>
          <w:tab/>
          <w:t>2</w:t>
        </w:r>
      </w:hyperlink>
    </w:p>
    <w:p>
      <w:pPr>
        <w:pStyle w:val="style54"/>
        <w:tabs>
          <w:tab w:leader="dot" w:pos="9638" w:val="right"/>
        </w:tabs>
      </w:pPr>
      <w:hyperlink w:anchor="__RefHeading__783_1559379828">
        <w:r>
          <w:rPr>
            <w:rStyle w:val="style36"/>
          </w:rPr>
          <w:t>Guiding Philosophy:</w:t>
          <w:tab/>
          <w:t>2</w:t>
        </w:r>
      </w:hyperlink>
    </w:p>
    <w:p>
      <w:pPr>
        <w:pStyle w:val="style55"/>
        <w:tabs>
          <w:tab w:leader="dot" w:pos="9921" w:val="right"/>
        </w:tabs>
      </w:pPr>
      <w:hyperlink w:anchor="__RefHeading__785_1559379828">
        <w:r>
          <w:rPr>
            <w:rStyle w:val="style36"/>
          </w:rPr>
          <w:t>Education Division Mission Statement:</w:t>
          <w:tab/>
          <w:t>3</w:t>
        </w:r>
      </w:hyperlink>
    </w:p>
    <w:p>
      <w:pPr>
        <w:pStyle w:val="style55"/>
        <w:tabs>
          <w:tab w:leader="dot" w:pos="9921" w:val="right"/>
        </w:tabs>
      </w:pPr>
      <w:hyperlink w:anchor="__RefHeading__787_1559379828">
        <w:r>
          <w:rPr>
            <w:rStyle w:val="style36"/>
          </w:rPr>
          <w:t>Marianist Values:</w:t>
          <w:tab/>
          <w:t>3</w:t>
        </w:r>
      </w:hyperlink>
    </w:p>
    <w:p>
      <w:pPr>
        <w:pStyle w:val="style55"/>
        <w:tabs>
          <w:tab w:leader="dot" w:pos="9921" w:val="right"/>
        </w:tabs>
      </w:pPr>
      <w:hyperlink w:anchor="__RefHeading__789_1559379828">
        <w:r>
          <w:rPr>
            <w:rStyle w:val="style36"/>
          </w:rPr>
          <w:t>Licensure Program Learner Outcomes (PLOs):</w:t>
          <w:tab/>
          <w:t>3</w:t>
        </w:r>
      </w:hyperlink>
    </w:p>
    <w:p>
      <w:pPr>
        <w:pStyle w:val="style55"/>
        <w:tabs>
          <w:tab w:leader="dot" w:pos="9921" w:val="right"/>
        </w:tabs>
      </w:pPr>
      <w:hyperlink w:anchor="__RefHeading__791_1559379828">
        <w:r>
          <w:rPr>
            <w:rStyle w:val="style36"/>
          </w:rPr>
          <w:t>Course Learning Objectives:</w:t>
          <w:tab/>
          <w:t>3</w:t>
        </w:r>
      </w:hyperlink>
    </w:p>
    <w:p>
      <w:pPr>
        <w:pStyle w:val="style54"/>
        <w:tabs>
          <w:tab w:leader="dot" w:pos="9638" w:val="right"/>
        </w:tabs>
      </w:pPr>
      <w:hyperlink w:anchor="__RefHeading__793_1559379828">
        <w:r>
          <w:rPr>
            <w:rStyle w:val="style36"/>
          </w:rPr>
          <w:t>Academic Course Requirements:</w:t>
          <w:tab/>
          <w:t>4</w:t>
        </w:r>
      </w:hyperlink>
    </w:p>
    <w:p>
      <w:pPr>
        <w:pStyle w:val="style54"/>
        <w:tabs>
          <w:tab w:leader="dot" w:pos="9638" w:val="right"/>
        </w:tabs>
      </w:pPr>
      <w:hyperlink w:anchor="__RefHeading__795_1559379828">
        <w:r>
          <w:rPr>
            <w:rStyle w:val="style36"/>
          </w:rPr>
          <w:t>Grading</w:t>
          <w:tab/>
          <w:t>4</w:t>
        </w:r>
      </w:hyperlink>
    </w:p>
    <w:p>
      <w:pPr>
        <w:pStyle w:val="style54"/>
        <w:tabs>
          <w:tab w:leader="dot" w:pos="9638" w:val="right"/>
        </w:tabs>
      </w:pPr>
      <w:hyperlink w:anchor="__RefHeading__797_1559379828">
        <w:r>
          <w:rPr>
            <w:rStyle w:val="style36"/>
          </w:rPr>
          <w:t>Policies</w:t>
          <w:tab/>
          <w:t>5</w:t>
        </w:r>
      </w:hyperlink>
    </w:p>
    <w:p>
      <w:pPr>
        <w:pStyle w:val="style55"/>
        <w:tabs>
          <w:tab w:leader="dot" w:pos="9921" w:val="right"/>
        </w:tabs>
      </w:pPr>
      <w:hyperlink w:anchor="__RefHeading__799_1559379828">
        <w:r>
          <w:rPr>
            <w:rStyle w:val="style36"/>
          </w:rPr>
          <w:t>Behavioral Course Requirements:</w:t>
          <w:tab/>
          <w:t>5</w:t>
        </w:r>
      </w:hyperlink>
    </w:p>
    <w:p>
      <w:pPr>
        <w:pStyle w:val="style56"/>
        <w:tabs>
          <w:tab w:leader="dot" w:pos="10204" w:val="right"/>
        </w:tabs>
      </w:pPr>
      <w:hyperlink w:anchor="__RefHeading__801_1559379828">
        <w:r>
          <w:rPr>
            <w:rStyle w:val="style36"/>
          </w:rPr>
          <w:t>Attendance</w:t>
          <w:tab/>
          <w:t>5</w:t>
        </w:r>
      </w:hyperlink>
    </w:p>
    <w:p>
      <w:pPr>
        <w:pStyle w:val="style56"/>
        <w:tabs>
          <w:tab w:leader="dot" w:pos="10204" w:val="right"/>
        </w:tabs>
      </w:pPr>
      <w:hyperlink w:anchor="__RefHeading__803_1559379828">
        <w:r>
          <w:rPr>
            <w:rStyle w:val="style36"/>
          </w:rPr>
          <w:t>Other</w:t>
          <w:tab/>
          <w:t>5</w:t>
        </w:r>
      </w:hyperlink>
    </w:p>
    <w:p>
      <w:pPr>
        <w:pStyle w:val="style55"/>
        <w:tabs>
          <w:tab w:leader="dot" w:pos="9921" w:val="right"/>
        </w:tabs>
      </w:pPr>
      <w:hyperlink w:anchor="__RefHeading__805_1559379828">
        <w:r>
          <w:rPr>
            <w:rStyle w:val="style36"/>
          </w:rPr>
          <w:t>University Policies:</w:t>
          <w:tab/>
          <w:t>5</w:t>
        </w:r>
      </w:hyperlink>
    </w:p>
    <w:p>
      <w:pPr>
        <w:pStyle w:val="style56"/>
        <w:tabs>
          <w:tab w:leader="dot" w:pos="10204" w:val="right"/>
        </w:tabs>
      </w:pPr>
      <w:hyperlink w:anchor="__RefHeading__807_1559379828">
        <w:r>
          <w:rPr>
            <w:rStyle w:val="style36"/>
          </w:rPr>
          <w:t>Plagiarism -</w:t>
          <w:tab/>
          <w:t>5</w:t>
        </w:r>
      </w:hyperlink>
    </w:p>
    <w:p>
      <w:pPr>
        <w:pStyle w:val="style56"/>
        <w:tabs>
          <w:tab w:leader="dot" w:pos="10204" w:val="right"/>
        </w:tabs>
      </w:pPr>
      <w:hyperlink w:anchor="__RefHeading__809_1559379828">
        <w:r>
          <w:rPr>
            <w:rStyle w:val="style36"/>
          </w:rPr>
          <w:t>Incomplete</w:t>
          <w:tab/>
          <w:t>5</w:t>
        </w:r>
      </w:hyperlink>
    </w:p>
    <w:p>
      <w:pPr>
        <w:pStyle w:val="style54"/>
        <w:tabs>
          <w:tab w:leader="dot" w:pos="9638" w:val="right"/>
        </w:tabs>
      </w:pPr>
      <w:hyperlink w:anchor="__RefHeading__843_1559379828">
        <w:r>
          <w:rPr>
            <w:rStyle w:val="style36"/>
          </w:rPr>
          <w:t>Reading Schedule for Introduction to Education – Ed 220</w:t>
          <w:tab/>
          <w:t>5</w:t>
        </w:r>
      </w:hyperlink>
      <w:r>
        <w:fldChar w:fldCharType="end"/>
      </w:r>
    </w:p>
    <w:p>
      <w:pPr>
        <w:sectPr>
          <w:type w:val="continuous"/>
          <w:pgSz w:h="16838" w:w="11906"/>
          <w:pgMar w:bottom="1693" w:footer="1134" w:gutter="0" w:header="0" w:left="1134" w:right="1134" w:top="1134"/>
          <w:formProt/>
          <w:textDirection w:val="lrTb"/>
          <w:docGrid w:charSpace="0" w:linePitch="240" w:type="default"/>
        </w:sectPr>
      </w:pPr>
    </w:p>
    <w:p>
      <w:pPr>
        <w:pStyle w:val="style54"/>
        <w:tabs>
          <w:tab w:leader="dot" w:pos="9638" w:val="right"/>
        </w:tabs>
      </w:pPr>
      <w:hyperlink w:anchor="__RefHeading__843_1559379828">
        <w:r>
          <w:rPr/>
        </w:r>
      </w:hyperlink>
    </w:p>
    <w:p>
      <w:pPr>
        <w:sectPr>
          <w:type w:val="continuous"/>
          <w:pgSz w:h="16838" w:w="11906"/>
          <w:pgMar w:bottom="1693" w:footer="1134" w:gutter="0" w:header="0" w:left="1134" w:right="1134" w:top="1134"/>
          <w:formProt w:val="false"/>
          <w:textDirection w:val="lrTb"/>
          <w:docGrid w:charSpace="0" w:linePitch="240" w:type="default"/>
        </w:sectPr>
      </w:pPr>
    </w:p>
    <w:p>
      <w:pPr>
        <w:pStyle w:val="style38"/>
      </w:pPr>
      <w:r>
        <w:rPr/>
      </w:r>
    </w:p>
    <w:tbl>
      <w:tblPr>
        <w:jc w:val="left"/>
        <w:tblInd w:type="dxa" w:w="85"/>
        <w:tblBorders>
          <w:top w:color="000001" w:space="0" w:sz="2" w:val="single"/>
        </w:tblBorders>
      </w:tblPr>
      <w:tblGrid>
        <w:gridCol w:w="2678"/>
        <w:gridCol w:w="4404"/>
      </w:tblGrid>
      <w:tr>
        <w:trPr>
          <w:cantSplit w:val="false"/>
        </w:trPr>
        <w:tc>
          <w:tcPr>
            <w:tcW w:type="dxa" w:w="2678"/>
            <w:tcBorders>
              <w:top w:color="000001" w:space="0" w:sz="2" w:val="single"/>
            </w:tcBorders>
            <w:shd w:fill="FFFFFF" w:val="clear"/>
            <w:tcMar>
              <w:top w:type="dxa" w:w="0"/>
              <w:left w:type="dxa" w:w="108"/>
              <w:bottom w:type="dxa" w:w="0"/>
              <w:right w:type="dxa" w:w="108"/>
            </w:tcMar>
          </w:tcPr>
          <w:p>
            <w:pPr>
              <w:pStyle w:val="style76"/>
            </w:pPr>
            <w:r>
              <w:rPr/>
              <w:t>Instructor:</w:t>
            </w:r>
          </w:p>
        </w:tc>
        <w:tc>
          <w:tcPr>
            <w:tcW w:type="dxa" w:w="4404"/>
            <w:tcBorders>
              <w:top w:color="000001" w:space="0" w:sz="2" w:val="single"/>
            </w:tcBorders>
            <w:shd w:fill="FFFFFF" w:val="clear"/>
            <w:tcMar>
              <w:top w:type="dxa" w:w="0"/>
              <w:left w:type="dxa" w:w="108"/>
              <w:bottom w:type="dxa" w:w="0"/>
              <w:right w:type="dxa" w:w="108"/>
            </w:tcMar>
          </w:tcPr>
          <w:p>
            <w:pPr>
              <w:pStyle w:val="style76"/>
            </w:pPr>
            <w:r>
              <w:rPr/>
              <w:t>The Rev. Dale Hathaway, M.Div., M.A.</w:t>
            </w:r>
          </w:p>
        </w:tc>
      </w:tr>
      <w:tr>
        <w:trPr>
          <w:cantSplit w:val="false"/>
        </w:trPr>
        <w:tc>
          <w:tcPr>
            <w:tcW w:type="dxa" w:w="2678"/>
            <w:tcBorders/>
            <w:shd w:fill="FFFFFF" w:val="clear"/>
            <w:tcMar>
              <w:top w:type="dxa" w:w="0"/>
              <w:left w:type="dxa" w:w="108"/>
              <w:bottom w:type="dxa" w:w="0"/>
              <w:right w:type="dxa" w:w="108"/>
            </w:tcMar>
          </w:tcPr>
          <w:p>
            <w:pPr>
              <w:pStyle w:val="style76"/>
            </w:pPr>
            <w:r>
              <w:rPr/>
              <w:t>Location:</w:t>
            </w:r>
          </w:p>
        </w:tc>
        <w:tc>
          <w:tcPr>
            <w:tcW w:type="dxa" w:w="4404"/>
            <w:tcBorders/>
            <w:shd w:fill="FFFFFF" w:val="clear"/>
            <w:tcMar>
              <w:top w:type="dxa" w:w="0"/>
              <w:left w:type="dxa" w:w="108"/>
              <w:bottom w:type="dxa" w:w="0"/>
              <w:right w:type="dxa" w:w="108"/>
            </w:tcMar>
          </w:tcPr>
          <w:p>
            <w:pPr>
              <w:pStyle w:val="style76"/>
            </w:pPr>
            <w:r>
              <w:rPr/>
              <w:t>Brogan Hall, Rm. 101</w:t>
            </w:r>
          </w:p>
        </w:tc>
      </w:tr>
      <w:tr>
        <w:trPr>
          <w:cantSplit w:val="false"/>
        </w:trPr>
        <w:tc>
          <w:tcPr>
            <w:tcW w:type="dxa" w:w="2678"/>
            <w:tcBorders/>
            <w:shd w:fill="FFFFFF" w:val="clear"/>
            <w:tcMar>
              <w:top w:type="dxa" w:w="0"/>
              <w:left w:type="dxa" w:w="108"/>
              <w:bottom w:type="dxa" w:w="0"/>
              <w:right w:type="dxa" w:w="108"/>
            </w:tcMar>
          </w:tcPr>
          <w:p>
            <w:pPr>
              <w:pStyle w:val="style76"/>
            </w:pPr>
            <w:r>
              <w:rPr/>
              <w:t>Time:</w:t>
            </w:r>
          </w:p>
        </w:tc>
        <w:tc>
          <w:tcPr>
            <w:tcW w:type="dxa" w:w="4404"/>
            <w:tcBorders/>
            <w:shd w:fill="FFFFFF" w:val="clear"/>
            <w:tcMar>
              <w:top w:type="dxa" w:w="0"/>
              <w:left w:type="dxa" w:w="108"/>
              <w:bottom w:type="dxa" w:w="0"/>
              <w:right w:type="dxa" w:w="108"/>
            </w:tcMar>
          </w:tcPr>
          <w:p>
            <w:pPr>
              <w:pStyle w:val="style76"/>
            </w:pPr>
            <w:r>
              <w:rPr/>
              <w:t>M.W.F. 9:30-10:20</w:t>
            </w:r>
          </w:p>
        </w:tc>
      </w:tr>
      <w:tr>
        <w:trPr>
          <w:cantSplit w:val="false"/>
        </w:trPr>
        <w:tc>
          <w:tcPr>
            <w:tcW w:type="dxa" w:w="2678"/>
            <w:tcBorders/>
            <w:shd w:fill="FFFFFF" w:val="clear"/>
            <w:tcMar>
              <w:top w:type="dxa" w:w="0"/>
              <w:left w:type="dxa" w:w="108"/>
              <w:bottom w:type="dxa" w:w="0"/>
              <w:right w:type="dxa" w:w="108"/>
            </w:tcMar>
          </w:tcPr>
          <w:p>
            <w:pPr>
              <w:pStyle w:val="style76"/>
            </w:pPr>
            <w:r>
              <w:rPr/>
              <w:t>Instructor’s Office:</w:t>
            </w:r>
          </w:p>
        </w:tc>
        <w:tc>
          <w:tcPr>
            <w:tcW w:type="dxa" w:w="4404"/>
            <w:tcBorders/>
            <w:shd w:fill="FFFFFF" w:val="clear"/>
            <w:tcMar>
              <w:top w:type="dxa" w:w="0"/>
              <w:left w:type="dxa" w:w="108"/>
              <w:bottom w:type="dxa" w:w="0"/>
              <w:right w:type="dxa" w:w="108"/>
            </w:tcMar>
          </w:tcPr>
          <w:p>
            <w:pPr>
              <w:pStyle w:val="style76"/>
            </w:pPr>
            <w:r>
              <w:rPr/>
              <w:t>Brogan Hall 128</w:t>
            </w:r>
          </w:p>
        </w:tc>
      </w:tr>
      <w:tr>
        <w:trPr>
          <w:cantSplit w:val="false"/>
        </w:trPr>
        <w:tc>
          <w:tcPr>
            <w:tcW w:type="dxa" w:w="2678"/>
            <w:tcBorders/>
            <w:shd w:fill="FFFFFF" w:val="clear"/>
            <w:tcMar>
              <w:top w:type="dxa" w:w="0"/>
              <w:left w:type="dxa" w:w="108"/>
              <w:bottom w:type="dxa" w:w="0"/>
              <w:right w:type="dxa" w:w="108"/>
            </w:tcMar>
          </w:tcPr>
          <w:p>
            <w:pPr>
              <w:pStyle w:val="style76"/>
            </w:pPr>
            <w:r>
              <w:rPr/>
              <w:t>Office Hours:</w:t>
            </w:r>
          </w:p>
        </w:tc>
        <w:tc>
          <w:tcPr>
            <w:tcW w:type="dxa" w:w="4404"/>
            <w:tcBorders/>
            <w:shd w:fill="FFFFFF" w:val="clear"/>
            <w:tcMar>
              <w:top w:type="dxa" w:w="0"/>
              <w:left w:type="dxa" w:w="108"/>
              <w:bottom w:type="dxa" w:w="0"/>
              <w:right w:type="dxa" w:w="108"/>
            </w:tcMar>
          </w:tcPr>
          <w:p>
            <w:pPr>
              <w:pStyle w:val="style76"/>
            </w:pPr>
            <w:r>
              <w:rPr/>
              <w:t>MW 10:30-12:00 (and by appointment)</w:t>
            </w:r>
          </w:p>
        </w:tc>
      </w:tr>
      <w:tr>
        <w:trPr>
          <w:cantSplit w:val="false"/>
        </w:trPr>
        <w:tc>
          <w:tcPr>
            <w:tcW w:type="dxa" w:w="2678"/>
            <w:tcBorders/>
            <w:shd w:fill="FFFFFF" w:val="clear"/>
            <w:tcMar>
              <w:top w:type="dxa" w:w="0"/>
              <w:left w:type="dxa" w:w="108"/>
              <w:bottom w:type="dxa" w:w="0"/>
              <w:right w:type="dxa" w:w="108"/>
            </w:tcMar>
          </w:tcPr>
          <w:p>
            <w:pPr>
              <w:pStyle w:val="style76"/>
            </w:pPr>
            <w:r>
              <w:rPr/>
              <w:t>Phone:</w:t>
            </w:r>
          </w:p>
        </w:tc>
        <w:tc>
          <w:tcPr>
            <w:tcW w:type="dxa" w:w="4404"/>
            <w:tcBorders/>
            <w:shd w:fill="FFFFFF" w:val="clear"/>
            <w:tcMar>
              <w:top w:type="dxa" w:w="0"/>
              <w:left w:type="dxa" w:w="108"/>
              <w:bottom w:type="dxa" w:w="0"/>
              <w:right w:type="dxa" w:w="108"/>
            </w:tcMar>
          </w:tcPr>
          <w:p>
            <w:pPr>
              <w:pStyle w:val="style76"/>
            </w:pPr>
            <w:r>
              <w:rPr/>
              <w:t>(o) 440-4264</w:t>
            </w:r>
          </w:p>
        </w:tc>
      </w:tr>
      <w:tr>
        <w:trPr>
          <w:cantSplit w:val="false"/>
        </w:trPr>
        <w:tc>
          <w:tcPr>
            <w:tcW w:type="dxa" w:w="2678"/>
            <w:tcBorders>
              <w:bottom w:color="000001" w:space="0" w:sz="2" w:val="single"/>
            </w:tcBorders>
            <w:shd w:fill="FFFFFF" w:val="clear"/>
            <w:tcMar>
              <w:top w:type="dxa" w:w="0"/>
              <w:left w:type="dxa" w:w="108"/>
              <w:bottom w:type="dxa" w:w="0"/>
              <w:right w:type="dxa" w:w="108"/>
            </w:tcMar>
          </w:tcPr>
          <w:p>
            <w:pPr>
              <w:pStyle w:val="style76"/>
            </w:pPr>
            <w:r>
              <w:rPr/>
              <w:t>Email:</w:t>
            </w:r>
          </w:p>
        </w:tc>
        <w:tc>
          <w:tcPr>
            <w:tcW w:type="dxa" w:w="4404"/>
            <w:tcBorders>
              <w:bottom w:color="000001" w:space="0" w:sz="2" w:val="single"/>
            </w:tcBorders>
            <w:shd w:fill="FFFFFF" w:val="clear"/>
            <w:tcMar>
              <w:top w:type="dxa" w:w="0"/>
              <w:left w:type="dxa" w:w="108"/>
              <w:bottom w:type="dxa" w:w="0"/>
              <w:right w:type="dxa" w:w="108"/>
            </w:tcMar>
          </w:tcPr>
          <w:p>
            <w:pPr>
              <w:pStyle w:val="style76"/>
            </w:pPr>
            <w:r>
              <w:rPr/>
              <w:t>dale.hathaway@chaminade.edu</w:t>
            </w:r>
          </w:p>
        </w:tc>
      </w:tr>
    </w:tbl>
    <w:p>
      <w:pPr>
        <w:pStyle w:val="style1"/>
        <w:numPr>
          <w:ilvl w:val="0"/>
          <w:numId w:val="2"/>
        </w:numPr>
      </w:pPr>
      <w:bookmarkStart w:id="0" w:name="OrgXref.sec-1"/>
      <w:bookmarkStart w:id="1" w:name="sec-1"/>
      <w:bookmarkStart w:id="2" w:name="__RefHeading__779_1559379828"/>
      <w:bookmarkEnd w:id="0"/>
      <w:bookmarkEnd w:id="1"/>
      <w:bookmarkEnd w:id="2"/>
      <w:r>
        <w:rPr/>
        <w:t>Course Description:</w:t>
      </w:r>
    </w:p>
    <w:p>
      <w:pPr>
        <w:pStyle w:val="style38"/>
      </w:pPr>
      <w:r>
        <w:rPr/>
        <w:t xml:space="preserve">This is a survey course that introduces the student to the historical development of American education. The class will investigate the evolution of education from colonial times until the present and focus on the contribution of several important educational leaders. The class will also examine contemporary educational reform movements that are re-shaping education in this country. Finally, through onsite classroom observation and reflection, students will be introduced to the art and science of teaching. </w:t>
      </w:r>
    </w:p>
    <w:p>
      <w:pPr>
        <w:pStyle w:val="style1"/>
        <w:numPr>
          <w:ilvl w:val="0"/>
          <w:numId w:val="2"/>
        </w:numPr>
      </w:pPr>
      <w:bookmarkStart w:id="3" w:name="OrgXref.sec-2"/>
      <w:bookmarkStart w:id="4" w:name="sec-2"/>
      <w:bookmarkStart w:id="5" w:name="__RefHeading__781_1559379828"/>
      <w:bookmarkEnd w:id="3"/>
      <w:bookmarkEnd w:id="4"/>
      <w:bookmarkEnd w:id="5"/>
      <w:r>
        <w:rPr/>
        <w:t>Texts:</w:t>
      </w:r>
    </w:p>
    <w:p>
      <w:pPr>
        <w:pStyle w:val="style38"/>
      </w:pPr>
      <w:r>
        <w:rPr>
          <w:rStyle w:val="style15"/>
        </w:rPr>
        <w:t>School, The Story of American Public Education</w:t>
      </w:r>
      <w:r>
        <w:rPr/>
        <w:t xml:space="preserve">. S. Mondale, S. Patton (eds.). Beacon Press, Boston. 2001 </w:t>
      </w:r>
    </w:p>
    <w:p>
      <w:pPr>
        <w:pStyle w:val="style38"/>
      </w:pPr>
      <w:r>
        <w:rPr>
          <w:rStyle w:val="style15"/>
        </w:rPr>
        <w:t>Foundations of American education; perspectives on education in a changing world</w:t>
      </w:r>
      <w:r>
        <w:rPr/>
        <w:t xml:space="preserve">. Johnson, J. A., Musial, D., Hall G. E., Gollnick, D. M. Pearson. 2011 </w:t>
      </w:r>
    </w:p>
    <w:p>
      <w:pPr>
        <w:pStyle w:val="style38"/>
      </w:pPr>
      <w:r>
        <w:rPr/>
        <w:t xml:space="preserve">Your </w:t>
      </w:r>
      <w:r>
        <w:rPr>
          <w:rStyle w:val="style15"/>
        </w:rPr>
        <w:t>Foundations</w:t>
      </w:r>
      <w:r>
        <w:rPr/>
        <w:t xml:space="preserve"> text provides you with access to a rich array of learning resources from Pearson under the general title "myeducationlab.com" as described on the back of your textbook. We will use these resources so you will need access. </w:t>
      </w:r>
    </w:p>
    <w:p>
      <w:pPr>
        <w:pStyle w:val="style38"/>
      </w:pPr>
      <w:r>
        <w:rPr/>
        <w:t xml:space="preserve">Additional resources, both print and multi-media, will be used from our Sullivan Library's rich resources. </w:t>
      </w:r>
    </w:p>
    <w:p>
      <w:pPr>
        <w:pStyle w:val="style1"/>
        <w:numPr>
          <w:ilvl w:val="0"/>
          <w:numId w:val="2"/>
        </w:numPr>
      </w:pPr>
      <w:bookmarkStart w:id="6" w:name="OrgXref.sec-3"/>
      <w:bookmarkStart w:id="7" w:name="sec-3"/>
      <w:bookmarkStart w:id="8" w:name="__RefHeading__783_1559379828"/>
      <w:bookmarkEnd w:id="6"/>
      <w:bookmarkEnd w:id="7"/>
      <w:bookmarkEnd w:id="8"/>
      <w:r>
        <w:rPr/>
        <w:t>Guiding Philosophy:</w:t>
      </w:r>
    </w:p>
    <w:p>
      <w:pPr>
        <w:pStyle w:val="style38"/>
      </w:pPr>
      <w:r>
        <w:rPr/>
        <w:t xml:space="preserve">The Education Division’s guiding philosophy is based upon a set of beliefs that flow from Chaminade University’s vision and mission statements, the Education Division’s mission statement, the Marianist Core Academic Beliefs, and the Hawai'ian 'Ōlelo of </w:t>
      </w:r>
      <w:r>
        <w:rPr>
          <w:rStyle w:val="style15"/>
        </w:rPr>
        <w:t>Mana</w:t>
      </w:r>
      <w:r>
        <w:rPr/>
        <w:t xml:space="preserve"> (intrapersonal; spirit; embodiment of love, faith, and ethical practice), </w:t>
      </w:r>
      <w:r>
        <w:rPr>
          <w:rStyle w:val="style15"/>
        </w:rPr>
        <w:t>Aloha</w:t>
      </w:r>
      <w:r>
        <w:rPr/>
        <w:t xml:space="preserve"> (interpersonal; love; sacredness; divine breath), '</w:t>
      </w:r>
      <w:r>
        <w:rPr>
          <w:rStyle w:val="style15"/>
        </w:rPr>
        <w:t>Ohana</w:t>
      </w:r>
      <w:r>
        <w:rPr/>
        <w:t xml:space="preserve"> (classroom; family; interconnectedness), </w:t>
      </w:r>
      <w:r>
        <w:rPr>
          <w:rStyle w:val="style15"/>
        </w:rPr>
        <w:t>Pono</w:t>
      </w:r>
      <w:r>
        <w:rPr/>
        <w:t xml:space="preserve"> (community; being in alignment and balance in life and the community), and </w:t>
      </w:r>
      <w:r>
        <w:rPr>
          <w:rStyle w:val="style15"/>
        </w:rPr>
        <w:t>Ho'oma'ama'a</w:t>
      </w:r>
      <w:r>
        <w:rPr/>
        <w:t xml:space="preserve"> (world; become adapted to; teach one to work). </w:t>
      </w:r>
    </w:p>
    <w:p>
      <w:pPr>
        <w:pStyle w:val="style38"/>
      </w:pPr>
      <w:r>
        <w:rPr/>
        <w:t xml:space="preserve">These values and beliefs are based on the Catholic Marianist principles; </w:t>
      </w:r>
    </w:p>
    <w:p>
      <w:pPr>
        <w:pStyle w:val="style38"/>
        <w:numPr>
          <w:ilvl w:val="0"/>
          <w:numId w:val="3"/>
        </w:numPr>
        <w:tabs>
          <w:tab w:leader="none" w:pos="1440" w:val="left"/>
        </w:tabs>
        <w:ind w:hanging="360" w:left="720" w:right="0"/>
      </w:pPr>
      <w:r>
        <w:rPr/>
        <w:t xml:space="preserve">a commitment to mentor instructional and educational leaders to their fullest potential; </w:t>
      </w:r>
    </w:p>
    <w:p>
      <w:pPr>
        <w:pStyle w:val="style38"/>
        <w:numPr>
          <w:ilvl w:val="0"/>
          <w:numId w:val="3"/>
        </w:numPr>
        <w:tabs>
          <w:tab w:leader="none" w:pos="1440" w:val="left"/>
        </w:tabs>
        <w:ind w:hanging="360" w:left="720" w:right="0"/>
      </w:pPr>
      <w:r>
        <w:rPr/>
        <w:t xml:space="preserve">a commitment to teaching excellence, engagement in scholarship in the pursuit of truth; </w:t>
      </w:r>
    </w:p>
    <w:p>
      <w:pPr>
        <w:pStyle w:val="style38"/>
        <w:numPr>
          <w:ilvl w:val="0"/>
          <w:numId w:val="3"/>
        </w:numPr>
        <w:tabs>
          <w:tab w:leader="none" w:pos="1440" w:val="left"/>
        </w:tabs>
        <w:ind w:hanging="360" w:left="720" w:right="0"/>
      </w:pPr>
      <w:r>
        <w:rPr/>
        <w:t xml:space="preserve">and a commitment to scholarly service for the university and the larger community. </w:t>
      </w:r>
    </w:p>
    <w:p>
      <w:pPr>
        <w:pStyle w:val="style38"/>
      </w:pPr>
      <w:r>
        <w:rPr/>
        <w:t xml:space="preserve">This alignment is designed to prepare education professionals for effective classroom and school leadership by demonstrating professional dispositions, content knowledge, pedagogical skills, and leadership to work effectively with a diverse community of learners. </w:t>
      </w:r>
    </w:p>
    <w:p>
      <w:pPr>
        <w:pStyle w:val="style2"/>
        <w:numPr>
          <w:ilvl w:val="1"/>
          <w:numId w:val="2"/>
        </w:numPr>
      </w:pPr>
      <w:bookmarkStart w:id="9" w:name="OrgXref.sec-3-1"/>
      <w:bookmarkStart w:id="10" w:name="sec-3-1"/>
      <w:bookmarkStart w:id="11" w:name="__RefHeading__785_1559379828"/>
      <w:bookmarkEnd w:id="9"/>
      <w:bookmarkEnd w:id="10"/>
      <w:bookmarkEnd w:id="11"/>
      <w:r>
        <w:rPr/>
        <w:t>Education Division Mission Statement:</w:t>
      </w:r>
    </w:p>
    <w:p>
      <w:pPr>
        <w:pStyle w:val="style38"/>
      </w:pPr>
      <w:r>
        <w:rPr/>
        <w:t xml:space="preserve">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 </w:t>
      </w:r>
    </w:p>
    <w:p>
      <w:pPr>
        <w:pStyle w:val="style2"/>
        <w:numPr>
          <w:ilvl w:val="1"/>
          <w:numId w:val="2"/>
        </w:numPr>
      </w:pPr>
      <w:bookmarkStart w:id="12" w:name="OrgXref.sec-3-2"/>
      <w:bookmarkStart w:id="13" w:name="sec-3-2"/>
      <w:bookmarkStart w:id="14" w:name="__RefHeading__787_1559379828"/>
      <w:bookmarkEnd w:id="12"/>
      <w:bookmarkEnd w:id="13"/>
      <w:bookmarkEnd w:id="14"/>
      <w:r>
        <w:rPr/>
        <w:t>Marianist Values:</w:t>
      </w:r>
    </w:p>
    <w:p>
      <w:pPr>
        <w:pStyle w:val="style38"/>
        <w:numPr>
          <w:ilvl w:val="0"/>
          <w:numId w:val="4"/>
        </w:numPr>
        <w:tabs>
          <w:tab w:leader="none" w:pos="1440" w:val="left"/>
        </w:tabs>
        <w:ind w:hanging="360" w:left="720" w:right="0"/>
      </w:pPr>
      <w:r>
        <w:rPr/>
        <w:t xml:space="preserve">Education for </w:t>
      </w:r>
      <w:r>
        <w:rPr>
          <w:rStyle w:val="style29"/>
        </w:rPr>
        <w:t>Formation in Faith</w:t>
      </w:r>
      <w:r>
        <w:rPr/>
        <w:t xml:space="preserve"> (</w:t>
      </w:r>
      <w:r>
        <w:rPr>
          <w:rStyle w:val="style15"/>
        </w:rPr>
        <w:t>Mana</w:t>
      </w:r>
      <w:r>
        <w:rPr/>
        <w:t xml:space="preserve">): Within the community of learners, reason and personal faith are seen as mutually complementary roads to truth. All Education Division members join the larger community of faith, hope, love and ethical practice. </w:t>
      </w:r>
    </w:p>
    <w:p>
      <w:pPr>
        <w:pStyle w:val="style38"/>
        <w:numPr>
          <w:ilvl w:val="0"/>
          <w:numId w:val="4"/>
        </w:numPr>
        <w:tabs>
          <w:tab w:leader="none" w:pos="1440" w:val="left"/>
        </w:tabs>
        <w:ind w:hanging="360" w:left="720" w:right="0"/>
      </w:pPr>
      <w:r>
        <w:rPr>
          <w:rStyle w:val="style29"/>
        </w:rPr>
        <w:t>Integral, Quality Education</w:t>
      </w:r>
      <w:r>
        <w:rPr/>
        <w:t xml:space="preserve"> (</w:t>
      </w:r>
      <w:r>
        <w:rPr>
          <w:rStyle w:val="style15"/>
        </w:rPr>
        <w:t>Aloha</w:t>
      </w:r>
      <w:r>
        <w:rPr/>
        <w:t xml:space="preserve">):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 </w:t>
      </w:r>
    </w:p>
    <w:p>
      <w:pPr>
        <w:pStyle w:val="style38"/>
        <w:numPr>
          <w:ilvl w:val="0"/>
          <w:numId w:val="4"/>
        </w:numPr>
        <w:tabs>
          <w:tab w:leader="none" w:pos="1440" w:val="left"/>
        </w:tabs>
        <w:ind w:hanging="360" w:left="720" w:right="0"/>
      </w:pPr>
      <w:r>
        <w:rPr>
          <w:rStyle w:val="style29"/>
        </w:rPr>
        <w:t>Education and the Family Spirit</w:t>
      </w:r>
      <w:r>
        <w:rPr/>
        <w:t xml:space="preserve"> ('</w:t>
      </w:r>
      <w:r>
        <w:rPr>
          <w:rStyle w:val="style15"/>
        </w:rPr>
        <w:t>Ohana</w:t>
      </w:r>
      <w:r>
        <w:rPr/>
        <w:t xml:space="preserve">): The community of learners is a second family which encourages the personal development of each of its members. Mutual respect for all members of the Education Division family allows the community to share responsibility for decision making at all levels. </w:t>
      </w:r>
    </w:p>
    <w:p>
      <w:pPr>
        <w:pStyle w:val="style38"/>
        <w:numPr>
          <w:ilvl w:val="0"/>
          <w:numId w:val="4"/>
        </w:numPr>
        <w:tabs>
          <w:tab w:leader="none" w:pos="1440" w:val="left"/>
        </w:tabs>
        <w:ind w:hanging="360" w:left="720" w:right="0"/>
      </w:pPr>
      <w:r>
        <w:rPr/>
        <w:t xml:space="preserve">Education for </w:t>
      </w:r>
      <w:r>
        <w:rPr>
          <w:rStyle w:val="style29"/>
        </w:rPr>
        <w:t>Service, Peace and Justice</w:t>
      </w:r>
      <w:r>
        <w:rPr/>
        <w:t xml:space="preserve"> (</w:t>
      </w:r>
      <w:r>
        <w:rPr>
          <w:rStyle w:val="style15"/>
        </w:rPr>
        <w:t>Pono</w:t>
      </w:r>
      <w:r>
        <w:rPr/>
        <w:t xml:space="preserve">): All members of the community strive to serve the university community and the larger community. Education Division community members are committed to scholarly service and to dispense and receive justice to and from each other and to the larger community. </w:t>
      </w:r>
    </w:p>
    <w:p>
      <w:pPr>
        <w:pStyle w:val="style38"/>
        <w:numPr>
          <w:ilvl w:val="0"/>
          <w:numId w:val="4"/>
        </w:numPr>
        <w:tabs>
          <w:tab w:leader="none" w:pos="1440" w:val="left"/>
        </w:tabs>
        <w:ind w:hanging="360" w:left="720" w:right="0"/>
      </w:pPr>
      <w:r>
        <w:rPr/>
        <w:t xml:space="preserve">Education for </w:t>
      </w:r>
      <w:r>
        <w:rPr>
          <w:rStyle w:val="style29"/>
        </w:rPr>
        <w:t>Adaptation and Change</w:t>
      </w:r>
      <w:r>
        <w:rPr/>
        <w:t xml:space="preserve"> (</w:t>
      </w:r>
      <w:r>
        <w:rPr>
          <w:rStyle w:val="style15"/>
        </w:rPr>
        <w:t>Ho‘oma‘ama‘a</w:t>
      </w:r>
      <w:r>
        <w:rPr/>
        <w:t xml:space="preserve">): True to the tradition of faith, a Marianist-founded education prepares students for tomorrow and adapts to its time. The Education Division scholarly community of learners regards technology as a critical aid in the quest for understanding in a changing world. </w:t>
      </w:r>
    </w:p>
    <w:p>
      <w:pPr>
        <w:pStyle w:val="style2"/>
        <w:numPr>
          <w:ilvl w:val="1"/>
          <w:numId w:val="2"/>
        </w:numPr>
      </w:pPr>
      <w:bookmarkStart w:id="15" w:name="OrgXref.sec-3-3"/>
      <w:bookmarkStart w:id="16" w:name="sec-3-3"/>
      <w:bookmarkStart w:id="17" w:name="__RefHeading__789_1559379828"/>
      <w:bookmarkEnd w:id="15"/>
      <w:bookmarkEnd w:id="16"/>
      <w:bookmarkEnd w:id="17"/>
      <w:r>
        <w:rPr/>
        <w:t>Licensure Program Learner Outcomes (PLOs):</w:t>
      </w:r>
    </w:p>
    <w:p>
      <w:pPr>
        <w:pStyle w:val="style38"/>
        <w:numPr>
          <w:ilvl w:val="0"/>
          <w:numId w:val="5"/>
        </w:numPr>
        <w:tabs>
          <w:tab w:leader="none" w:pos="1440" w:val="left"/>
        </w:tabs>
        <w:ind w:hanging="360" w:left="720" w:right="0"/>
      </w:pPr>
      <w:r>
        <w:rPr>
          <w:rStyle w:val="style29"/>
        </w:rPr>
        <w:t>PLO1</w:t>
      </w:r>
      <w:r>
        <w:rPr/>
        <w:t>: Content Knowledge (</w:t>
      </w:r>
      <w:r>
        <w:rPr>
          <w:rStyle w:val="style15"/>
        </w:rPr>
        <w:t>Knowledge of subject matter</w:t>
      </w:r>
      <w:r>
        <w:rPr/>
        <w:t xml:space="preserve">). </w:t>
      </w:r>
    </w:p>
    <w:p>
      <w:pPr>
        <w:pStyle w:val="style38"/>
        <w:numPr>
          <w:ilvl w:val="0"/>
          <w:numId w:val="5"/>
        </w:numPr>
        <w:tabs>
          <w:tab w:leader="none" w:pos="1440" w:val="left"/>
        </w:tabs>
        <w:ind w:hanging="360" w:left="720" w:right="0"/>
      </w:pPr>
      <w:r>
        <w:rPr>
          <w:rStyle w:val="style29"/>
        </w:rPr>
        <w:t>PLO2</w:t>
      </w:r>
      <w:r>
        <w:rPr/>
        <w:t>: Developmentally Appropriate Practice (</w:t>
      </w:r>
      <w:r>
        <w:rPr>
          <w:rStyle w:val="style15"/>
        </w:rPr>
        <w:t>Knowledge of how students develop and learn, and engagement of students in developmentally appropriate experiences that support learning</w:t>
      </w:r>
      <w:r>
        <w:rPr/>
        <w:t xml:space="preserve">). </w:t>
      </w:r>
    </w:p>
    <w:p>
      <w:pPr>
        <w:pStyle w:val="style38"/>
        <w:numPr>
          <w:ilvl w:val="0"/>
          <w:numId w:val="5"/>
        </w:numPr>
        <w:tabs>
          <w:tab w:leader="none" w:pos="1440" w:val="left"/>
        </w:tabs>
        <w:ind w:hanging="360" w:left="720" w:right="0"/>
      </w:pPr>
      <w:r>
        <w:rPr>
          <w:rStyle w:val="style29"/>
        </w:rPr>
        <w:t>PLO3</w:t>
      </w:r>
      <w:r>
        <w:rPr/>
        <w:t>: Pedagogical Content Knowledge (</w:t>
      </w:r>
      <w:r>
        <w:rPr>
          <w:rStyle w:val="style15"/>
        </w:rPr>
        <w:t>Knowledge of how to teach subject matter to students and application of a variety of instructional strategies that are rigorous, differentiated, focused on the active involvement of the learner</w:t>
      </w:r>
      <w:r>
        <w:rPr/>
        <w:t xml:space="preserve">). </w:t>
      </w:r>
    </w:p>
    <w:p>
      <w:pPr>
        <w:pStyle w:val="style38"/>
        <w:numPr>
          <w:ilvl w:val="0"/>
          <w:numId w:val="5"/>
        </w:numPr>
        <w:tabs>
          <w:tab w:leader="none" w:pos="1440" w:val="left"/>
        </w:tabs>
        <w:ind w:hanging="360" w:left="720" w:right="0"/>
      </w:pPr>
      <w:r>
        <w:rPr>
          <w:rStyle w:val="style29"/>
        </w:rPr>
        <w:t>PLO4</w:t>
      </w:r>
      <w:r>
        <w:rPr/>
        <w:t>: Educational Technology (</w:t>
      </w:r>
      <w:r>
        <w:rPr>
          <w:rStyle w:val="style15"/>
        </w:rPr>
        <w:t>Knowledge of and application of appropriate technology for student learning</w:t>
      </w:r>
      <w:r>
        <w:rPr/>
        <w:t xml:space="preserve">). </w:t>
      </w:r>
    </w:p>
    <w:p>
      <w:pPr>
        <w:pStyle w:val="style38"/>
        <w:numPr>
          <w:ilvl w:val="0"/>
          <w:numId w:val="5"/>
        </w:numPr>
        <w:tabs>
          <w:tab w:leader="none" w:pos="1440" w:val="left"/>
        </w:tabs>
        <w:ind w:hanging="360" w:left="720" w:right="0"/>
      </w:pPr>
      <w:r>
        <w:rPr>
          <w:rStyle w:val="style29"/>
        </w:rPr>
        <w:t>PLO5</w:t>
      </w:r>
      <w:r>
        <w:rPr/>
        <w:t>: Assessment for Learning (</w:t>
      </w:r>
      <w:r>
        <w:rPr>
          <w:rStyle w:val="style15"/>
        </w:rPr>
        <w:t>Knowledge of and use of appropriate assessment strategies that enhance the knowledge of learners and their responsibility for their own learning</w:t>
      </w:r>
      <w:r>
        <w:rPr/>
        <w:t xml:space="preserve">). </w:t>
      </w:r>
    </w:p>
    <w:p>
      <w:pPr>
        <w:pStyle w:val="style38"/>
        <w:numPr>
          <w:ilvl w:val="0"/>
          <w:numId w:val="5"/>
        </w:numPr>
        <w:tabs>
          <w:tab w:leader="none" w:pos="1440" w:val="left"/>
        </w:tabs>
        <w:ind w:hanging="360" w:left="720" w:right="0"/>
      </w:pPr>
      <w:r>
        <w:rPr>
          <w:rStyle w:val="style29"/>
        </w:rPr>
        <w:t>PLO6</w:t>
      </w:r>
      <w:r>
        <w:rPr/>
        <w:t>: Diversity (</w:t>
      </w:r>
      <w:r>
        <w:rPr>
          <w:rStyle w:val="style15"/>
        </w:rPr>
        <w:t>Skills for adapting learning activities for individual differences and the needs of diverse learners and for maintaining safe positive, caring, and inclusive learning environments</w:t>
      </w:r>
      <w:r>
        <w:rPr/>
        <w:t xml:space="preserve">). </w:t>
      </w:r>
    </w:p>
    <w:p>
      <w:pPr>
        <w:pStyle w:val="style38"/>
        <w:numPr>
          <w:ilvl w:val="0"/>
          <w:numId w:val="5"/>
        </w:numPr>
        <w:tabs>
          <w:tab w:leader="none" w:pos="1440" w:val="left"/>
        </w:tabs>
        <w:ind w:hanging="360" w:left="720" w:right="0"/>
      </w:pPr>
      <w:r>
        <w:rPr>
          <w:rStyle w:val="style29"/>
        </w:rPr>
        <w:t>PLO7</w:t>
      </w:r>
      <w:r>
        <w:rPr/>
        <w:t>: Focus on Student Learning (</w:t>
      </w:r>
      <w:r>
        <w:rPr>
          <w:rStyle w:val="style15"/>
        </w:rPr>
        <w:t>Skills in the planning and design of meaningful learning activities that support and have positive impact on student learning based upon knowledge of subject matter, students, the community, curriculum standards, and integration of appropriate technology</w:t>
      </w:r>
      <w:r>
        <w:rPr/>
        <w:t xml:space="preserve">). </w:t>
      </w:r>
    </w:p>
    <w:p>
      <w:pPr>
        <w:pStyle w:val="style38"/>
        <w:numPr>
          <w:ilvl w:val="0"/>
          <w:numId w:val="5"/>
        </w:numPr>
        <w:tabs>
          <w:tab w:leader="none" w:pos="1440" w:val="left"/>
        </w:tabs>
        <w:ind w:hanging="360" w:left="720" w:right="0"/>
      </w:pPr>
      <w:r>
        <w:rPr>
          <w:rStyle w:val="style29"/>
        </w:rPr>
        <w:t>PLO8</w:t>
      </w:r>
      <w:r>
        <w:rPr/>
        <w:t>: Professional &amp; Ethical Dispositions and Communication (</w:t>
      </w:r>
      <w:r>
        <w:rPr>
          <w:rStyle w:val="style15"/>
        </w:rPr>
        <w:t>Professional dispositions, professionalism in teaching, and ethical standards of conduct consistent with Marianist values, and positive and constructive relationships with parents, the school community and professional colleagues</w:t>
      </w:r>
      <w:r>
        <w:rPr/>
        <w:t xml:space="preserve">). </w:t>
      </w:r>
    </w:p>
    <w:p>
      <w:pPr>
        <w:pStyle w:val="style2"/>
        <w:numPr>
          <w:ilvl w:val="1"/>
          <w:numId w:val="2"/>
        </w:numPr>
      </w:pPr>
      <w:bookmarkStart w:id="18" w:name="OrgXref.sec-3-4"/>
      <w:bookmarkStart w:id="19" w:name="sec-3-4"/>
      <w:bookmarkStart w:id="20" w:name="__RefHeading__791_1559379828"/>
      <w:bookmarkEnd w:id="18"/>
      <w:bookmarkEnd w:id="19"/>
      <w:bookmarkEnd w:id="20"/>
      <w:r>
        <w:rPr/>
        <w:t>Course Learning Objectives:</w:t>
      </w:r>
    </w:p>
    <w:p>
      <w:pPr>
        <w:pStyle w:val="style38"/>
        <w:numPr>
          <w:ilvl w:val="0"/>
          <w:numId w:val="6"/>
        </w:numPr>
        <w:tabs>
          <w:tab w:leader="none" w:pos="1440" w:val="left"/>
        </w:tabs>
        <w:ind w:hanging="360" w:left="720" w:right="0"/>
      </w:pPr>
      <w:r>
        <w:rPr/>
        <w:t xml:space="preserve">The student will be able to give an overview of the development of American education from colonial times to the present. </w:t>
      </w:r>
    </w:p>
    <w:p>
      <w:pPr>
        <w:pStyle w:val="style38"/>
        <w:numPr>
          <w:ilvl w:val="0"/>
          <w:numId w:val="6"/>
        </w:numPr>
        <w:tabs>
          <w:tab w:leader="none" w:pos="1440" w:val="left"/>
        </w:tabs>
        <w:ind w:hanging="360" w:left="720" w:right="0"/>
      </w:pPr>
      <w:r>
        <w:rPr/>
        <w:t xml:space="preserve">The student will be able to give an overview of an educational philosophy for our changing world. </w:t>
      </w:r>
    </w:p>
    <w:p>
      <w:pPr>
        <w:pStyle w:val="style38"/>
        <w:numPr>
          <w:ilvl w:val="0"/>
          <w:numId w:val="6"/>
        </w:numPr>
        <w:tabs>
          <w:tab w:leader="none" w:pos="1440" w:val="left"/>
        </w:tabs>
        <w:ind w:hanging="360" w:left="720" w:right="0"/>
      </w:pPr>
      <w:r>
        <w:rPr/>
        <w:t xml:space="preserve">The student will understand and be able to supply examples of the interrelationship between the evolution of American education and important political, economic and intellectual movements in the United States. </w:t>
      </w:r>
    </w:p>
    <w:p>
      <w:pPr>
        <w:pStyle w:val="style38"/>
        <w:numPr>
          <w:ilvl w:val="0"/>
          <w:numId w:val="6"/>
        </w:numPr>
        <w:tabs>
          <w:tab w:leader="none" w:pos="1440" w:val="left"/>
        </w:tabs>
        <w:ind w:hanging="360" w:left="720" w:right="0"/>
      </w:pPr>
      <w:r>
        <w:rPr/>
        <w:t xml:space="preserve">The student will be introduced to classroom practice and begin to develop the skills of teaching and classroom management. </w:t>
      </w:r>
    </w:p>
    <w:p>
      <w:pPr>
        <w:pStyle w:val="style1"/>
        <w:numPr>
          <w:ilvl w:val="0"/>
          <w:numId w:val="2"/>
        </w:numPr>
      </w:pPr>
      <w:bookmarkStart w:id="21" w:name="OrgXref.sec-4"/>
      <w:bookmarkStart w:id="22" w:name="sec-4"/>
      <w:bookmarkStart w:id="23" w:name="__RefHeading__793_1559379828"/>
      <w:bookmarkEnd w:id="21"/>
      <w:bookmarkEnd w:id="22"/>
      <w:bookmarkEnd w:id="23"/>
      <w:r>
        <w:rPr/>
        <w:t>Academic Course Requirements:</w:t>
      </w:r>
    </w:p>
    <w:p>
      <w:pPr>
        <w:pStyle w:val="style38"/>
        <w:numPr>
          <w:ilvl w:val="0"/>
          <w:numId w:val="7"/>
        </w:numPr>
        <w:tabs>
          <w:tab w:leader="none" w:pos="1440" w:val="left"/>
        </w:tabs>
        <w:ind w:hanging="360" w:left="720" w:right="0"/>
      </w:pPr>
      <w:r>
        <w:rPr/>
        <w:t xml:space="preserve">There are assigned weekly readings. The student is expected to have completed the readings and be ready to discuss the material in class. Various resources will be provided throughout the course. </w:t>
      </w:r>
    </w:p>
    <w:p>
      <w:pPr>
        <w:pStyle w:val="style38"/>
        <w:numPr>
          <w:ilvl w:val="0"/>
          <w:numId w:val="7"/>
        </w:numPr>
        <w:tabs>
          <w:tab w:leader="none" w:pos="1440" w:val="left"/>
        </w:tabs>
        <w:ind w:hanging="360" w:left="720" w:right="0"/>
      </w:pPr>
      <w:r>
        <w:rPr/>
        <w:t xml:space="preserve">The student will be expected to utilize the resources provided by myeducationlab. </w:t>
      </w:r>
    </w:p>
    <w:p>
      <w:pPr>
        <w:pStyle w:val="style38"/>
        <w:numPr>
          <w:ilvl w:val="0"/>
          <w:numId w:val="7"/>
        </w:numPr>
        <w:tabs>
          <w:tab w:leader="none" w:pos="1440" w:val="left"/>
        </w:tabs>
        <w:ind w:hanging="360" w:left="720" w:right="0"/>
      </w:pPr>
      <w:r>
        <w:rPr/>
        <w:t xml:space="preserve">Short reflection papers will be assigned for some of the readings. Essays should be 1- 2 pages in length. </w:t>
      </w:r>
      <w:r>
        <w:rPr>
          <w:rStyle w:val="style29"/>
        </w:rPr>
        <w:t>Keep them brief, clear, concise and to the point</w:t>
      </w:r>
      <w:r>
        <w:rPr/>
        <w:t xml:space="preserve">. Papers are due at the class period of the day assigned and at no other time. </w:t>
      </w:r>
    </w:p>
    <w:p>
      <w:pPr>
        <w:pStyle w:val="style38"/>
        <w:numPr>
          <w:ilvl w:val="0"/>
          <w:numId w:val="7"/>
        </w:numPr>
        <w:tabs>
          <w:tab w:leader="none" w:pos="1440" w:val="left"/>
        </w:tabs>
        <w:ind w:hanging="360" w:left="720" w:right="0"/>
      </w:pPr>
      <w:r>
        <w:rPr/>
        <w:t xml:space="preserve">Short quizzes and tests will be given throughout the semester. The class will be notified of an upcoming test, but quizzes on the readings can be given without notice at any time. Missed quizzes cannot be made up. </w:t>
      </w:r>
    </w:p>
    <w:p>
      <w:pPr>
        <w:pStyle w:val="style38"/>
        <w:numPr>
          <w:ilvl w:val="0"/>
          <w:numId w:val="7"/>
        </w:numPr>
        <w:tabs>
          <w:tab w:leader="none" w:pos="1440" w:val="left"/>
        </w:tabs>
        <w:ind w:hanging="360" w:left="720" w:right="0"/>
      </w:pPr>
      <w:r>
        <w:rPr/>
        <w:t xml:space="preserve">Exercises and small projects will be assigned from Myeducationlab. </w:t>
      </w:r>
    </w:p>
    <w:p>
      <w:pPr>
        <w:pStyle w:val="style38"/>
        <w:numPr>
          <w:ilvl w:val="0"/>
          <w:numId w:val="7"/>
        </w:numPr>
        <w:tabs>
          <w:tab w:leader="none" w:pos="1440" w:val="left"/>
        </w:tabs>
        <w:ind w:hanging="360" w:left="720" w:right="0"/>
      </w:pPr>
      <w:r>
        <w:rPr/>
        <w:t xml:space="preserve">In the course of the semester students are required to visit three (3) different classrooms in an elementary, middle or high school of their choice to observe teaching methodology, classroom management and overall classroom culture. The visits will take place at specified times throughout the semester and are noted in the syllabus. A report on each visit will be written. Selections from the visit reports will be used for class discussion. </w:t>
      </w:r>
    </w:p>
    <w:p>
      <w:pPr>
        <w:pStyle w:val="style38"/>
        <w:numPr>
          <w:ilvl w:val="0"/>
          <w:numId w:val="7"/>
        </w:numPr>
        <w:tabs>
          <w:tab w:leader="none" w:pos="1440" w:val="left"/>
        </w:tabs>
        <w:ind w:hanging="360" w:left="720" w:right="0"/>
      </w:pPr>
      <w:r>
        <w:rPr/>
        <w:t xml:space="preserve">Tests missed because of illness or emergency must be made up. Students are responsible for making an appointment with the instructor. Make up tests are done orally with the instructor. </w:t>
      </w:r>
    </w:p>
    <w:p>
      <w:pPr>
        <w:pStyle w:val="style38"/>
        <w:numPr>
          <w:ilvl w:val="0"/>
          <w:numId w:val="7"/>
        </w:numPr>
        <w:tabs>
          <w:tab w:leader="none" w:pos="1440" w:val="left"/>
        </w:tabs>
        <w:ind w:hanging="360" w:left="720" w:right="0"/>
      </w:pPr>
      <w:r>
        <w:rPr/>
        <w:t xml:space="preserve">The Signature Assignment for this class is an annotated timeline of American education history. It is due during the final week of the semester and replaces the final examination. The Rubric for the assignment will be distributed in class. </w:t>
      </w:r>
    </w:p>
    <w:p>
      <w:pPr>
        <w:pStyle w:val="style1"/>
        <w:numPr>
          <w:ilvl w:val="0"/>
          <w:numId w:val="2"/>
        </w:numPr>
      </w:pPr>
      <w:bookmarkStart w:id="24" w:name="OrgXref.sec-5"/>
      <w:bookmarkStart w:id="25" w:name="sec-5"/>
      <w:bookmarkStart w:id="26" w:name="__RefHeading__795_1559379828"/>
      <w:bookmarkEnd w:id="24"/>
      <w:bookmarkEnd w:id="25"/>
      <w:bookmarkEnd w:id="26"/>
      <w:r>
        <w:rPr/>
        <w:t>Grading</w:t>
      </w:r>
    </w:p>
    <w:tbl>
      <w:tblPr>
        <w:jc w:val="center"/>
        <w:tblBorders>
          <w:top w:color="000001" w:space="0" w:sz="2" w:val="single"/>
        </w:tblBorders>
      </w:tblPr>
      <w:tblGrid>
        <w:gridCol w:w="4626"/>
        <w:gridCol w:w="4625"/>
      </w:tblGrid>
      <w:tr>
        <w:trPr>
          <w:tblHeader w:val="true"/>
          <w:cantSplit w:val="false"/>
        </w:trPr>
        <w:tc>
          <w:tcPr>
            <w:tcW w:type="dxa" w:w="4626"/>
            <w:tcBorders>
              <w:top w:color="000001" w:space="0" w:sz="2" w:val="single"/>
            </w:tcBorders>
            <w:shd w:fill="FFFFFF" w:val="clear"/>
            <w:tcMar>
              <w:top w:type="dxa" w:w="0"/>
              <w:left w:type="dxa" w:w="108"/>
              <w:bottom w:type="dxa" w:w="0"/>
              <w:right w:type="dxa" w:w="108"/>
            </w:tcMar>
          </w:tcPr>
          <w:p>
            <w:pPr>
              <w:pStyle w:val="style73"/>
              <w:spacing w:after="120" w:before="0"/>
              <w:contextualSpacing w:val="false"/>
              <w:jc w:val="left"/>
            </w:pPr>
            <w:r>
              <w:rPr/>
              <w:t>Assessment</w:t>
            </w:r>
          </w:p>
        </w:tc>
        <w:tc>
          <w:tcPr>
            <w:tcW w:type="dxa" w:w="4625"/>
            <w:tcBorders>
              <w:top w:color="000001" w:space="0" w:sz="2" w:val="single"/>
            </w:tcBorders>
            <w:shd w:fill="FFFFFF" w:val="clear"/>
            <w:tcMar>
              <w:top w:type="dxa" w:w="0"/>
              <w:left w:type="dxa" w:w="108"/>
              <w:bottom w:type="dxa" w:w="0"/>
              <w:right w:type="dxa" w:w="108"/>
            </w:tcMar>
          </w:tcPr>
          <w:p>
            <w:pPr>
              <w:pStyle w:val="style74"/>
              <w:spacing w:after="120" w:before="0"/>
              <w:contextualSpacing w:val="false"/>
              <w:jc w:val="right"/>
            </w:pPr>
            <w:r>
              <w:rPr/>
              <w:t>% of grade</w:t>
            </w:r>
          </w:p>
        </w:tc>
      </w:tr>
      <w:tr>
        <w:trPr>
          <w:cantSplit w:val="false"/>
        </w:trPr>
        <w:tc>
          <w:tcPr>
            <w:tcW w:type="dxa" w:w="4626"/>
            <w:tcBorders>
              <w:top w:color="000001" w:space="0" w:sz="2" w:val="single"/>
            </w:tcBorders>
            <w:shd w:fill="FFFFFF" w:val="clear"/>
            <w:tcMar>
              <w:top w:type="dxa" w:w="0"/>
              <w:left w:type="dxa" w:w="108"/>
              <w:bottom w:type="dxa" w:w="0"/>
              <w:right w:type="dxa" w:w="108"/>
            </w:tcMar>
          </w:tcPr>
          <w:p>
            <w:pPr>
              <w:pStyle w:val="style76"/>
            </w:pPr>
            <w:r>
              <w:rPr/>
              <w:t>Attendance and Participation</w:t>
            </w:r>
          </w:p>
        </w:tc>
        <w:tc>
          <w:tcPr>
            <w:tcW w:type="dxa" w:w="4625"/>
            <w:tcBorders>
              <w:top w:color="000001" w:space="0" w:sz="2" w:val="single"/>
            </w:tcBorders>
            <w:shd w:fill="FFFFFF" w:val="clear"/>
            <w:tcMar>
              <w:top w:type="dxa" w:w="0"/>
              <w:left w:type="dxa" w:w="108"/>
              <w:bottom w:type="dxa" w:w="0"/>
              <w:right w:type="dxa" w:w="108"/>
            </w:tcMar>
          </w:tcPr>
          <w:p>
            <w:pPr>
              <w:pStyle w:val="style77"/>
              <w:spacing w:after="120" w:before="0"/>
              <w:contextualSpacing w:val="false"/>
              <w:jc w:val="right"/>
            </w:pPr>
            <w:r>
              <w:rPr/>
              <w:t>10</w:t>
            </w:r>
          </w:p>
        </w:tc>
      </w:tr>
      <w:tr>
        <w:trPr>
          <w:cantSplit w:val="false"/>
        </w:trPr>
        <w:tc>
          <w:tcPr>
            <w:tcW w:type="dxa" w:w="4626"/>
            <w:tcBorders/>
            <w:shd w:fill="FFFFFF" w:val="clear"/>
            <w:tcMar>
              <w:top w:type="dxa" w:w="0"/>
              <w:left w:type="dxa" w:w="108"/>
              <w:bottom w:type="dxa" w:w="0"/>
              <w:right w:type="dxa" w:w="108"/>
            </w:tcMar>
          </w:tcPr>
          <w:p>
            <w:pPr>
              <w:pStyle w:val="style76"/>
            </w:pPr>
            <w:r>
              <w:rPr/>
              <w:t>Dispositions Assignment</w:t>
            </w:r>
          </w:p>
        </w:tc>
        <w:tc>
          <w:tcPr>
            <w:tcW w:type="dxa" w:w="4625"/>
            <w:tcBorders/>
            <w:shd w:fill="FFFFFF" w:val="clear"/>
            <w:tcMar>
              <w:top w:type="dxa" w:w="0"/>
              <w:left w:type="dxa" w:w="108"/>
              <w:bottom w:type="dxa" w:w="0"/>
              <w:right w:type="dxa" w:w="108"/>
            </w:tcMar>
          </w:tcPr>
          <w:p>
            <w:pPr>
              <w:pStyle w:val="style77"/>
              <w:spacing w:after="120" w:before="0"/>
              <w:contextualSpacing w:val="false"/>
              <w:jc w:val="right"/>
            </w:pPr>
            <w:r>
              <w:rPr/>
              <w:t>10</w:t>
            </w:r>
          </w:p>
        </w:tc>
      </w:tr>
      <w:tr>
        <w:trPr>
          <w:cantSplit w:val="false"/>
        </w:trPr>
        <w:tc>
          <w:tcPr>
            <w:tcW w:type="dxa" w:w="4626"/>
            <w:tcBorders/>
            <w:shd w:fill="FFFFFF" w:val="clear"/>
            <w:tcMar>
              <w:top w:type="dxa" w:w="0"/>
              <w:left w:type="dxa" w:w="108"/>
              <w:bottom w:type="dxa" w:w="0"/>
              <w:right w:type="dxa" w:w="108"/>
            </w:tcMar>
          </w:tcPr>
          <w:p>
            <w:pPr>
              <w:pStyle w:val="style76"/>
            </w:pPr>
            <w:r>
              <w:rPr/>
              <w:t>Philosophy of Education Assignment</w:t>
            </w:r>
          </w:p>
        </w:tc>
        <w:tc>
          <w:tcPr>
            <w:tcW w:type="dxa" w:w="4625"/>
            <w:tcBorders/>
            <w:shd w:fill="FFFFFF" w:val="clear"/>
            <w:tcMar>
              <w:top w:type="dxa" w:w="0"/>
              <w:left w:type="dxa" w:w="108"/>
              <w:bottom w:type="dxa" w:w="0"/>
              <w:right w:type="dxa" w:w="108"/>
            </w:tcMar>
          </w:tcPr>
          <w:p>
            <w:pPr>
              <w:pStyle w:val="style77"/>
              <w:spacing w:after="120" w:before="0"/>
              <w:contextualSpacing w:val="false"/>
              <w:jc w:val="right"/>
            </w:pPr>
            <w:r>
              <w:rPr/>
              <w:t>10</w:t>
            </w:r>
          </w:p>
        </w:tc>
      </w:tr>
      <w:tr>
        <w:trPr>
          <w:cantSplit w:val="false"/>
        </w:trPr>
        <w:tc>
          <w:tcPr>
            <w:tcW w:type="dxa" w:w="4626"/>
            <w:tcBorders/>
            <w:shd w:fill="FFFFFF" w:val="clear"/>
            <w:tcMar>
              <w:top w:type="dxa" w:w="0"/>
              <w:left w:type="dxa" w:w="108"/>
              <w:bottom w:type="dxa" w:w="0"/>
              <w:right w:type="dxa" w:w="108"/>
            </w:tcMar>
          </w:tcPr>
          <w:p>
            <w:pPr>
              <w:pStyle w:val="style76"/>
            </w:pPr>
            <w:r>
              <w:rPr/>
              <w:t>Quizzes and tests</w:t>
            </w:r>
          </w:p>
        </w:tc>
        <w:tc>
          <w:tcPr>
            <w:tcW w:type="dxa" w:w="4625"/>
            <w:tcBorders/>
            <w:shd w:fill="FFFFFF" w:val="clear"/>
            <w:tcMar>
              <w:top w:type="dxa" w:w="0"/>
              <w:left w:type="dxa" w:w="108"/>
              <w:bottom w:type="dxa" w:w="0"/>
              <w:right w:type="dxa" w:w="108"/>
            </w:tcMar>
          </w:tcPr>
          <w:p>
            <w:pPr>
              <w:pStyle w:val="style77"/>
              <w:spacing w:after="120" w:before="0"/>
              <w:contextualSpacing w:val="false"/>
              <w:jc w:val="right"/>
            </w:pPr>
            <w:r>
              <w:rPr/>
              <w:t>20</w:t>
            </w:r>
          </w:p>
        </w:tc>
      </w:tr>
      <w:tr>
        <w:trPr>
          <w:cantSplit w:val="false"/>
        </w:trPr>
        <w:tc>
          <w:tcPr>
            <w:tcW w:type="dxa" w:w="4626"/>
            <w:tcBorders/>
            <w:shd w:fill="FFFFFF" w:val="clear"/>
            <w:tcMar>
              <w:top w:type="dxa" w:w="0"/>
              <w:left w:type="dxa" w:w="108"/>
              <w:bottom w:type="dxa" w:w="0"/>
              <w:right w:type="dxa" w:w="108"/>
            </w:tcMar>
          </w:tcPr>
          <w:p>
            <w:pPr>
              <w:pStyle w:val="style76"/>
            </w:pPr>
            <w:r>
              <w:rPr/>
              <w:t>Group work and Presentations</w:t>
            </w:r>
          </w:p>
        </w:tc>
        <w:tc>
          <w:tcPr>
            <w:tcW w:type="dxa" w:w="4625"/>
            <w:tcBorders/>
            <w:shd w:fill="FFFFFF" w:val="clear"/>
            <w:tcMar>
              <w:top w:type="dxa" w:w="0"/>
              <w:left w:type="dxa" w:w="108"/>
              <w:bottom w:type="dxa" w:w="0"/>
              <w:right w:type="dxa" w:w="108"/>
            </w:tcMar>
          </w:tcPr>
          <w:p>
            <w:pPr>
              <w:pStyle w:val="style77"/>
              <w:spacing w:after="120" w:before="0"/>
              <w:contextualSpacing w:val="false"/>
              <w:jc w:val="right"/>
            </w:pPr>
            <w:r>
              <w:rPr/>
              <w:t>15</w:t>
            </w:r>
          </w:p>
        </w:tc>
      </w:tr>
      <w:tr>
        <w:trPr>
          <w:cantSplit w:val="false"/>
        </w:trPr>
        <w:tc>
          <w:tcPr>
            <w:tcW w:type="dxa" w:w="4626"/>
            <w:tcBorders/>
            <w:shd w:fill="FFFFFF" w:val="clear"/>
            <w:tcMar>
              <w:top w:type="dxa" w:w="0"/>
              <w:left w:type="dxa" w:w="108"/>
              <w:bottom w:type="dxa" w:w="0"/>
              <w:right w:type="dxa" w:w="108"/>
            </w:tcMar>
          </w:tcPr>
          <w:p>
            <w:pPr>
              <w:pStyle w:val="style76"/>
            </w:pPr>
            <w:r>
              <w:rPr/>
              <w:t>Observation</w:t>
            </w:r>
          </w:p>
        </w:tc>
        <w:tc>
          <w:tcPr>
            <w:tcW w:type="dxa" w:w="4625"/>
            <w:tcBorders/>
            <w:shd w:fill="FFFFFF" w:val="clear"/>
            <w:tcMar>
              <w:top w:type="dxa" w:w="0"/>
              <w:left w:type="dxa" w:w="108"/>
              <w:bottom w:type="dxa" w:w="0"/>
              <w:right w:type="dxa" w:w="108"/>
            </w:tcMar>
          </w:tcPr>
          <w:p>
            <w:pPr>
              <w:pStyle w:val="style77"/>
              <w:spacing w:after="120" w:before="0"/>
              <w:contextualSpacing w:val="false"/>
              <w:jc w:val="right"/>
            </w:pPr>
            <w:r>
              <w:rPr/>
              <w:t>15</w:t>
            </w:r>
          </w:p>
        </w:tc>
      </w:tr>
      <w:tr>
        <w:trPr>
          <w:cantSplit w:val="false"/>
        </w:trPr>
        <w:tc>
          <w:tcPr>
            <w:tcW w:type="dxa" w:w="4626"/>
            <w:tcBorders/>
            <w:shd w:fill="FFFFFF" w:val="clear"/>
            <w:tcMar>
              <w:top w:type="dxa" w:w="0"/>
              <w:left w:type="dxa" w:w="108"/>
              <w:bottom w:type="dxa" w:w="0"/>
              <w:right w:type="dxa" w:w="108"/>
            </w:tcMar>
          </w:tcPr>
          <w:p>
            <w:pPr>
              <w:pStyle w:val="style76"/>
            </w:pPr>
            <w:r>
              <w:rPr/>
              <w:t>Annotated timeline</w:t>
            </w:r>
          </w:p>
        </w:tc>
        <w:tc>
          <w:tcPr>
            <w:tcW w:type="dxa" w:w="4625"/>
            <w:tcBorders/>
            <w:shd w:fill="FFFFFF" w:val="clear"/>
            <w:tcMar>
              <w:top w:type="dxa" w:w="0"/>
              <w:left w:type="dxa" w:w="108"/>
              <w:bottom w:type="dxa" w:w="0"/>
              <w:right w:type="dxa" w:w="108"/>
            </w:tcMar>
          </w:tcPr>
          <w:p>
            <w:pPr>
              <w:pStyle w:val="style77"/>
              <w:spacing w:after="120" w:before="0"/>
              <w:contextualSpacing w:val="false"/>
              <w:jc w:val="right"/>
            </w:pPr>
            <w:r>
              <w:rPr/>
              <w:t>20</w:t>
            </w:r>
          </w:p>
        </w:tc>
      </w:tr>
      <w:tr>
        <w:trPr>
          <w:cantSplit w:val="false"/>
        </w:trPr>
        <w:tc>
          <w:tcPr>
            <w:tcW w:type="dxa" w:w="4626"/>
            <w:tcBorders>
              <w:top w:color="000001" w:space="0" w:sz="2" w:val="single"/>
              <w:bottom w:color="000001" w:space="0" w:sz="2" w:val="single"/>
            </w:tcBorders>
            <w:shd w:fill="FFFFFF" w:val="clear"/>
            <w:tcMar>
              <w:top w:type="dxa" w:w="0"/>
              <w:left w:type="dxa" w:w="108"/>
              <w:bottom w:type="dxa" w:w="0"/>
              <w:right w:type="dxa" w:w="108"/>
            </w:tcMar>
          </w:tcPr>
          <w:p>
            <w:pPr>
              <w:pStyle w:val="style76"/>
            </w:pPr>
            <w:r>
              <w:rPr/>
            </w:r>
          </w:p>
        </w:tc>
        <w:tc>
          <w:tcPr>
            <w:tcW w:type="dxa" w:w="4625"/>
            <w:tcBorders>
              <w:top w:color="000001" w:space="0" w:sz="2" w:val="single"/>
              <w:bottom w:color="000001" w:space="0" w:sz="2" w:val="single"/>
            </w:tcBorders>
            <w:shd w:fill="FFFFFF" w:val="clear"/>
            <w:tcMar>
              <w:top w:type="dxa" w:w="0"/>
              <w:left w:type="dxa" w:w="108"/>
              <w:bottom w:type="dxa" w:w="0"/>
              <w:right w:type="dxa" w:w="108"/>
            </w:tcMar>
          </w:tcPr>
          <w:p>
            <w:pPr>
              <w:pStyle w:val="style77"/>
              <w:spacing w:after="120" w:before="0"/>
              <w:contextualSpacing w:val="false"/>
              <w:jc w:val="right"/>
            </w:pPr>
            <w:r>
              <w:rPr/>
              <w:t>100</w:t>
            </w:r>
          </w:p>
        </w:tc>
      </w:tr>
    </w:tbl>
    <w:p>
      <w:pPr>
        <w:pStyle w:val="style1"/>
        <w:numPr>
          <w:ilvl w:val="0"/>
          <w:numId w:val="2"/>
        </w:numPr>
      </w:pPr>
      <w:bookmarkStart w:id="27" w:name="OrgXref.sec-6"/>
      <w:bookmarkStart w:id="28" w:name="sec-6"/>
      <w:bookmarkStart w:id="29" w:name="__RefHeading__797_1559379828"/>
      <w:bookmarkEnd w:id="27"/>
      <w:bookmarkEnd w:id="28"/>
      <w:bookmarkEnd w:id="29"/>
      <w:r>
        <w:rPr/>
        <w:t>Policies</w:t>
      </w:r>
    </w:p>
    <w:p>
      <w:pPr>
        <w:pStyle w:val="style2"/>
        <w:numPr>
          <w:ilvl w:val="1"/>
          <w:numId w:val="2"/>
        </w:numPr>
      </w:pPr>
      <w:bookmarkStart w:id="30" w:name="OrgXref.sec-6-1"/>
      <w:bookmarkStart w:id="31" w:name="sec-6-1"/>
      <w:bookmarkStart w:id="32" w:name="__RefHeading__799_1559379828"/>
      <w:bookmarkEnd w:id="30"/>
      <w:bookmarkEnd w:id="31"/>
      <w:bookmarkEnd w:id="32"/>
      <w:r>
        <w:rPr/>
        <w:t>Behavioral Course Requirements:</w:t>
      </w:r>
    </w:p>
    <w:p>
      <w:pPr>
        <w:pStyle w:val="style3"/>
        <w:numPr>
          <w:ilvl w:val="2"/>
          <w:numId w:val="2"/>
        </w:numPr>
      </w:pPr>
      <w:bookmarkStart w:id="33" w:name="OrgXref.sec-6-1-1"/>
      <w:bookmarkStart w:id="34" w:name="sec-6-1-1"/>
      <w:bookmarkStart w:id="35" w:name="__RefHeading__801_1559379828"/>
      <w:bookmarkEnd w:id="33"/>
      <w:bookmarkEnd w:id="34"/>
      <w:bookmarkEnd w:id="35"/>
      <w:r>
        <w:rPr/>
        <w:t>Attendance</w:t>
      </w:r>
    </w:p>
    <w:p>
      <w:pPr>
        <w:pStyle w:val="style38"/>
      </w:pPr>
      <w:r>
        <w:rPr/>
        <w:t xml:space="preserve">Class participation is a crucial part of this course; therefore, attendance is mandatory. Every five unexcused absences will lower your final grade by one letter. In order for an absence to be considered excused, you must provide appropriate documentation. Missing class for medical reasons requires a written versification from a doctor. Every four tardies counts as an unexcused absence. For all absences, students are responsible for making up missed work </w:t>
      </w:r>
    </w:p>
    <w:p>
      <w:pPr>
        <w:pStyle w:val="style38"/>
      </w:pPr>
      <w:r>
        <w:rPr/>
        <w:t xml:space="preserve">Emergencies: If an emergency (i.e. medical, family or transportation) prevents a student from attending a class they must contact the instructor before the class meeting time. </w:t>
      </w:r>
    </w:p>
    <w:p>
      <w:pPr>
        <w:pStyle w:val="style3"/>
        <w:numPr>
          <w:ilvl w:val="2"/>
          <w:numId w:val="2"/>
        </w:numPr>
      </w:pPr>
      <w:bookmarkStart w:id="36" w:name="OrgXref.sec-6-1-2"/>
      <w:bookmarkStart w:id="37" w:name="sec-6-1-2"/>
      <w:bookmarkStart w:id="38" w:name="__RefHeading__803_1559379828"/>
      <w:bookmarkEnd w:id="36"/>
      <w:bookmarkEnd w:id="37"/>
      <w:bookmarkEnd w:id="38"/>
      <w:r>
        <w:rPr/>
        <w:t>Other</w:t>
      </w:r>
    </w:p>
    <w:p>
      <w:pPr>
        <w:pStyle w:val="style38"/>
      </w:pPr>
      <w:r>
        <w:rPr/>
        <w:t xml:space="preserve">Electronics: Neither phones or any other communication devices are to be used during class time. They must be stowed away in pocket or purse once class begins. </w:t>
      </w:r>
    </w:p>
    <w:p>
      <w:pPr>
        <w:pStyle w:val="style2"/>
        <w:numPr>
          <w:ilvl w:val="1"/>
          <w:numId w:val="2"/>
        </w:numPr>
      </w:pPr>
      <w:bookmarkStart w:id="39" w:name="OrgXref.sec-6-2"/>
      <w:bookmarkStart w:id="40" w:name="sec-6-2"/>
      <w:bookmarkStart w:id="41" w:name="__RefHeading__805_1559379828"/>
      <w:bookmarkEnd w:id="39"/>
      <w:bookmarkEnd w:id="40"/>
      <w:bookmarkEnd w:id="41"/>
      <w:r>
        <w:rPr/>
        <w:t>University Policies:</w:t>
      </w:r>
    </w:p>
    <w:p>
      <w:pPr>
        <w:pStyle w:val="style3"/>
        <w:numPr>
          <w:ilvl w:val="2"/>
          <w:numId w:val="2"/>
        </w:numPr>
      </w:pPr>
      <w:bookmarkStart w:id="42" w:name="OrgXref.sec-6-2-1"/>
      <w:bookmarkStart w:id="43" w:name="sec-6-2-1"/>
      <w:bookmarkStart w:id="44" w:name="__RefHeading__807_1559379828"/>
      <w:bookmarkEnd w:id="42"/>
      <w:bookmarkEnd w:id="43"/>
      <w:bookmarkEnd w:id="44"/>
      <w:r>
        <w:rPr/>
        <w:t>Plagiarism -</w:t>
      </w:r>
    </w:p>
    <w:p>
      <w:pPr>
        <w:pStyle w:val="style38"/>
      </w:pPr>
      <w:r>
        <w:rPr/>
        <w:t xml:space="preserve">Plagiarism is the offering of work of another as one's own. Plagiarism is a serious offense and may include, but is not limited to, the following: </w:t>
      </w:r>
    </w:p>
    <w:p>
      <w:pPr>
        <w:pStyle w:val="style38"/>
        <w:numPr>
          <w:ilvl w:val="0"/>
          <w:numId w:val="8"/>
        </w:numPr>
        <w:tabs>
          <w:tab w:leader="none" w:pos="1440" w:val="left"/>
        </w:tabs>
        <w:ind w:hanging="360" w:left="720" w:right="0"/>
      </w:pPr>
      <w:r>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pPr>
        <w:pStyle w:val="style38"/>
        <w:numPr>
          <w:ilvl w:val="0"/>
          <w:numId w:val="8"/>
        </w:numPr>
        <w:tabs>
          <w:tab w:leader="none" w:pos="1440" w:val="left"/>
        </w:tabs>
        <w:ind w:hanging="360" w:left="720" w:right="0"/>
      </w:pPr>
      <w:r>
        <w:rPr/>
        <w:t xml:space="preserve">Paraphrasing the work of another without proper author acknowledgment. </w:t>
      </w:r>
    </w:p>
    <w:p>
      <w:pPr>
        <w:pStyle w:val="style38"/>
        <w:numPr>
          <w:ilvl w:val="0"/>
          <w:numId w:val="8"/>
        </w:numPr>
        <w:tabs>
          <w:tab w:leader="none" w:pos="1440" w:val="left"/>
        </w:tabs>
        <w:ind w:hanging="360" w:left="720" w:right="0"/>
      </w:pPr>
      <w:r>
        <w:rPr/>
        <w:t xml:space="preserve">Submitting as one's own original work (however freely given or purchased) the original exam, research paper, manuscript, report, computer file, or other assignment that has been prepared by another individual. </w:t>
      </w:r>
    </w:p>
    <w:p>
      <w:pPr>
        <w:pStyle w:val="style38"/>
      </w:pPr>
      <w:r>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pPr>
        <w:pStyle w:val="style38"/>
      </w:pPr>
      <w:r>
        <w:rPr/>
        <w:t xml:space="preserve">In either case, the Dean or Graduate Program Director may choose to resolve the matter through a meeting with both the student and the faculty member, or refer the matter to the Provost. The findings, in either case, are final. </w:t>
      </w:r>
    </w:p>
    <w:p>
      <w:pPr>
        <w:pStyle w:val="style3"/>
        <w:numPr>
          <w:ilvl w:val="2"/>
          <w:numId w:val="2"/>
        </w:numPr>
      </w:pPr>
      <w:bookmarkStart w:id="45" w:name="OrgXref.sec-6-2-2"/>
      <w:bookmarkStart w:id="46" w:name="sec-6-2-2"/>
      <w:bookmarkStart w:id="47" w:name="__RefHeading__809_1559379828"/>
      <w:bookmarkEnd w:id="45"/>
      <w:bookmarkEnd w:id="46"/>
      <w:bookmarkEnd w:id="47"/>
      <w:r>
        <w:rPr/>
        <w:t>Incomplete</w:t>
      </w:r>
    </w:p>
    <w:p>
      <w:pPr>
        <w:pStyle w:val="style38"/>
      </w:pPr>
      <w:r>
        <w:rPr/>
        <w:t xml:space="preserve">An incomplete (I) may be given to a student who did not complete a portion of the work or final examination due to circumstances beyond the student's control. The incomplete contract must be signed by the student and the instructor. The work must be completed in 90 days or the incomplete will revert to the grade that the student would have earned. This grade and the date the work is due will be specified on the incomplete contract. </w:t>
      </w:r>
    </w:p>
    <w:p>
      <w:pPr>
        <w:pStyle w:val="style38"/>
      </w:pPr>
      <w:r>
        <w:rPr/>
        <w:t xml:space="preserve">Please refer to your Student Handbook, General Catalog, and the Education Division Policy Manual for other important institutional and academic policies including more detail information regarding Plagiarism, Classroom department, Freedom of Expression, Add/Drop, Disabilities, and others. </w:t>
      </w:r>
    </w:p>
    <w:p>
      <w:pPr>
        <w:pStyle w:val="style1"/>
        <w:widowControl w:val="false"/>
        <w:tabs/>
        <w:suppressAutoHyphens w:val="true"/>
        <w:overflowPunct w:val="false"/>
      </w:pPr>
      <w:r>
        <w:rPr/>
      </w:r>
    </w:p>
    <w:p>
      <w:pPr>
        <w:pStyle w:val="style1"/>
        <w:pageBreakBefore/>
        <w:numPr>
          <w:ilvl w:val="0"/>
          <w:numId w:val="2"/>
        </w:numPr>
      </w:pPr>
      <w:bookmarkStart w:id="48" w:name="__RefHeading__843_1559379828"/>
      <w:bookmarkEnd w:id="48"/>
      <w:r>
        <w:rPr/>
        <w:t>Reading Schedule for Introduction to Education – Ed 220</w:t>
      </w:r>
    </w:p>
    <w:tbl>
      <w:tblPr>
        <w:jc w:val="center"/>
        <w:tblBorders>
          <w:top w:color="000001" w:space="0" w:sz="2" w:val="single"/>
        </w:tblBorders>
      </w:tblPr>
      <w:tblGrid>
        <w:gridCol w:w="3084"/>
      </w:tblGrid>
      <w:tr>
        <w:trPr>
          <w:tblHeader w:val="true"/>
          <w:cantSplit w:val="false"/>
        </w:trPr>
        <w:tc>
          <w:tcPr>
            <w:tcW w:type="dxa" w:w="3084"/>
            <w:gridSpan w:val="3"/>
            <w:tcBorders>
              <w:top w:color="000001" w:space="0" w:sz="2" w:val="single"/>
            </w:tcBorders>
            <w:shd w:fill="FFFFFF" w:val="clear"/>
            <w:tcMar>
              <w:top w:type="dxa" w:w="0"/>
              <w:left w:type="dxa" w:w="108"/>
              <w:bottom w:type="dxa" w:w="0"/>
              <w:right w:type="dxa" w:w="108"/>
            </w:tcMar>
          </w:tcPr>
          <w:p>
            <w:pPr>
              <w:pStyle w:val="style73"/>
              <w:spacing w:after="120" w:before="0"/>
              <w:contextualSpacing w:val="false"/>
              <w:jc w:val="left"/>
            </w:pPr>
            <w:r>
              <w:rPr/>
              <w:t>Intro 2 weeks</w:t>
            </w:r>
          </w:p>
        </w:tc>
      </w:tr>
      <w:tr>
        <w:trPr>
          <w:cantSplit w:val="false"/>
        </w:trPr>
        <w:tc>
          <w:tcPr>
            <w:tcW w:type="dxa" w:w="3084"/>
            <w:tcBorders>
              <w:top w:color="000001" w:space="0" w:sz="2" w:val="single"/>
            </w:tcBorders>
            <w:shd w:fill="FFFFFF" w:val="clear"/>
            <w:tcMar>
              <w:top w:type="dxa" w:w="0"/>
              <w:left w:type="dxa" w:w="108"/>
              <w:bottom w:type="dxa" w:w="0"/>
              <w:right w:type="dxa" w:w="108"/>
            </w:tcMar>
          </w:tcPr>
          <w:p>
            <w:pPr>
              <w:pStyle w:val="style76"/>
            </w:pPr>
            <w:r>
              <w:rPr/>
            </w:r>
          </w:p>
        </w:tc>
        <w:tc>
          <w:tcPr>
            <w:tcW w:type="dxa" w:w="3084"/>
            <w:tcBorders>
              <w:top w:color="000001" w:space="0" w:sz="2" w:val="single"/>
            </w:tcBorders>
            <w:shd w:fill="FFFFFF" w:val="clear"/>
            <w:tcMar>
              <w:top w:type="dxa" w:w="0"/>
              <w:left w:type="dxa" w:w="108"/>
              <w:bottom w:type="dxa" w:w="0"/>
              <w:right w:type="dxa" w:w="108"/>
            </w:tcMar>
          </w:tcPr>
          <w:p>
            <w:pPr>
              <w:pStyle w:val="style76"/>
            </w:pPr>
            <w:r>
              <w:rPr/>
              <w:t>01/14/13:</w:t>
            </w:r>
          </w:p>
        </w:tc>
        <w:tc>
          <w:tcPr>
            <w:tcW w:type="dxa" w:w="3084"/>
            <w:tcBorders>
              <w:top w:color="000001" w:space="0" w:sz="2" w:val="single"/>
            </w:tcBorders>
            <w:shd w:fill="FFFFFF" w:val="clear"/>
            <w:tcMar>
              <w:top w:type="dxa" w:w="0"/>
              <w:left w:type="dxa" w:w="108"/>
              <w:bottom w:type="dxa" w:w="0"/>
              <w:right w:type="dxa" w:w="108"/>
            </w:tcMar>
          </w:tcPr>
          <w:p>
            <w:pPr>
              <w:pStyle w:val="style76"/>
            </w:pPr>
            <w:r>
              <w:rPr>
                <w:rStyle w:val="style15"/>
              </w:rPr>
              <w:t>Foundations</w:t>
            </w:r>
            <w:r>
              <w:rPr/>
              <w:t>: pp. 3-13</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01/21/13:</w:t>
            </w:r>
          </w:p>
        </w:tc>
        <w:tc>
          <w:tcPr>
            <w:tcW w:type="dxa" w:w="3084"/>
            <w:tcBorders/>
            <w:shd w:fill="FFFFFF" w:val="clear"/>
            <w:tcMar>
              <w:top w:type="dxa" w:w="0"/>
              <w:left w:type="dxa" w:w="108"/>
              <w:bottom w:type="dxa" w:w="0"/>
              <w:right w:type="dxa" w:w="108"/>
            </w:tcMar>
          </w:tcPr>
          <w:p>
            <w:pPr>
              <w:pStyle w:val="style76"/>
            </w:pPr>
            <w:r>
              <w:rPr>
                <w:rStyle w:val="style15"/>
              </w:rPr>
              <w:t>Foundations</w:t>
            </w:r>
            <w:r>
              <w:rPr/>
              <w:t>: pp. 13-27</w:t>
            </w:r>
          </w:p>
        </w:tc>
      </w:tr>
      <w:tr>
        <w:trPr>
          <w:cantSplit w:val="false"/>
        </w:trPr>
        <w:tc>
          <w:tcPr>
            <w:tcW w:type="dxa" w:w="3084"/>
            <w:gridSpan w:val="3"/>
            <w:tcBorders/>
            <w:shd w:fill="FFFFFF" w:val="clear"/>
            <w:tcMar>
              <w:top w:type="dxa" w:w="0"/>
              <w:left w:type="dxa" w:w="108"/>
              <w:bottom w:type="dxa" w:w="0"/>
              <w:right w:type="dxa" w:w="108"/>
            </w:tcMar>
          </w:tcPr>
          <w:p>
            <w:pPr>
              <w:pStyle w:val="style76"/>
            </w:pPr>
            <w:r>
              <w:rPr>
                <w:b/>
                <w:bCs/>
              </w:rPr>
              <w:t>History of Education 5 weeks</w:t>
            </w:r>
          </w:p>
        </w:tc>
      </w:tr>
      <w:tr>
        <w:trPr>
          <w:cantSplit w:val="false"/>
        </w:trPr>
        <w:tc>
          <w:tcPr>
            <w:tcW w:type="dxa" w:w="3084"/>
            <w:tcBorders>
              <w:top w:color="000001" w:space="0" w:sz="2" w:val="single"/>
            </w:tcBorders>
            <w:shd w:fill="FFFFFF" w:val="clear"/>
            <w:tcMar>
              <w:top w:type="dxa" w:w="0"/>
              <w:left w:type="dxa" w:w="108"/>
              <w:bottom w:type="dxa" w:w="0"/>
              <w:right w:type="dxa" w:w="108"/>
            </w:tcMar>
          </w:tcPr>
          <w:p>
            <w:pPr>
              <w:pStyle w:val="style76"/>
            </w:pPr>
            <w:r>
              <w:rPr/>
            </w:r>
          </w:p>
        </w:tc>
        <w:tc>
          <w:tcPr>
            <w:tcW w:type="dxa" w:w="3084"/>
            <w:tcBorders>
              <w:top w:color="000001" w:space="0" w:sz="2" w:val="single"/>
            </w:tcBorders>
            <w:shd w:fill="FFFFFF" w:val="clear"/>
            <w:tcMar>
              <w:top w:type="dxa" w:w="0"/>
              <w:left w:type="dxa" w:w="108"/>
              <w:bottom w:type="dxa" w:w="0"/>
              <w:right w:type="dxa" w:w="108"/>
            </w:tcMar>
          </w:tcPr>
          <w:p>
            <w:pPr>
              <w:pStyle w:val="style76"/>
            </w:pPr>
            <w:r>
              <w:rPr/>
              <w:t>01/28/13:</w:t>
            </w:r>
          </w:p>
        </w:tc>
        <w:tc>
          <w:tcPr>
            <w:tcW w:type="dxa" w:w="3084"/>
            <w:tcBorders>
              <w:top w:color="000001" w:space="0" w:sz="2" w:val="single"/>
            </w:tcBorders>
            <w:shd w:fill="FFFFFF" w:val="clear"/>
            <w:tcMar>
              <w:top w:type="dxa" w:w="0"/>
              <w:left w:type="dxa" w:w="108"/>
              <w:bottom w:type="dxa" w:w="0"/>
              <w:right w:type="dxa" w:w="108"/>
            </w:tcMar>
          </w:tcPr>
          <w:p>
            <w:pPr>
              <w:pStyle w:val="style76"/>
            </w:pPr>
            <w:r>
              <w:rPr>
                <w:rStyle w:val="style15"/>
              </w:rPr>
              <w:t>Foundations</w:t>
            </w:r>
            <w:r>
              <w:rPr/>
              <w:t>: Early history of education pp 29-37</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02/04/13:</w:t>
            </w:r>
          </w:p>
        </w:tc>
        <w:tc>
          <w:tcPr>
            <w:tcW w:type="dxa" w:w="3084"/>
            <w:tcBorders/>
            <w:shd w:fill="FFFFFF" w:val="clear"/>
            <w:tcMar>
              <w:top w:type="dxa" w:w="0"/>
              <w:left w:type="dxa" w:w="108"/>
              <w:bottom w:type="dxa" w:w="0"/>
              <w:right w:type="dxa" w:w="108"/>
            </w:tcMar>
          </w:tcPr>
          <w:p>
            <w:pPr>
              <w:pStyle w:val="style76"/>
            </w:pPr>
            <w:r>
              <w:rPr>
                <w:rStyle w:val="style15"/>
              </w:rPr>
              <w:t>School</w:t>
            </w:r>
            <w:r>
              <w:rPr/>
              <w:t>: Part one</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02/11/13:</w:t>
            </w:r>
          </w:p>
        </w:tc>
        <w:tc>
          <w:tcPr>
            <w:tcW w:type="dxa" w:w="3084"/>
            <w:tcBorders/>
            <w:shd w:fill="FFFFFF" w:val="clear"/>
            <w:tcMar>
              <w:top w:type="dxa" w:w="0"/>
              <w:left w:type="dxa" w:w="108"/>
              <w:bottom w:type="dxa" w:w="0"/>
              <w:right w:type="dxa" w:w="108"/>
            </w:tcMar>
          </w:tcPr>
          <w:p>
            <w:pPr>
              <w:pStyle w:val="style76"/>
            </w:pPr>
            <w:r>
              <w:rPr>
                <w:rStyle w:val="style15"/>
              </w:rPr>
              <w:t>School</w:t>
            </w:r>
            <w:r>
              <w:rPr/>
              <w:t>: Part two</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02/18/13:</w:t>
            </w:r>
          </w:p>
        </w:tc>
        <w:tc>
          <w:tcPr>
            <w:tcW w:type="dxa" w:w="3084"/>
            <w:tcBorders/>
            <w:shd w:fill="FFFFFF" w:val="clear"/>
            <w:tcMar>
              <w:top w:type="dxa" w:w="0"/>
              <w:left w:type="dxa" w:w="108"/>
              <w:bottom w:type="dxa" w:w="0"/>
              <w:right w:type="dxa" w:w="108"/>
            </w:tcMar>
          </w:tcPr>
          <w:p>
            <w:pPr>
              <w:pStyle w:val="style76"/>
            </w:pPr>
            <w:r>
              <w:rPr>
                <w:rStyle w:val="style15"/>
              </w:rPr>
              <w:t>School</w:t>
            </w:r>
            <w:r>
              <w:rPr/>
              <w:t>: Part three</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02/25/13:</w:t>
            </w:r>
          </w:p>
        </w:tc>
        <w:tc>
          <w:tcPr>
            <w:tcW w:type="dxa" w:w="3084"/>
            <w:tcBorders/>
            <w:shd w:fill="FFFFFF" w:val="clear"/>
            <w:tcMar>
              <w:top w:type="dxa" w:w="0"/>
              <w:left w:type="dxa" w:w="108"/>
              <w:bottom w:type="dxa" w:w="0"/>
              <w:right w:type="dxa" w:w="108"/>
            </w:tcMar>
          </w:tcPr>
          <w:p>
            <w:pPr>
              <w:pStyle w:val="style76"/>
            </w:pPr>
            <w:r>
              <w:rPr>
                <w:rStyle w:val="style15"/>
              </w:rPr>
              <w:t>School</w:t>
            </w:r>
            <w:r>
              <w:rPr/>
              <w:t>: Part four: First classroom observations due</w:t>
            </w:r>
          </w:p>
        </w:tc>
      </w:tr>
      <w:tr>
        <w:trPr>
          <w:cantSplit w:val="false"/>
        </w:trPr>
        <w:tc>
          <w:tcPr>
            <w:tcW w:type="dxa" w:w="3084"/>
            <w:gridSpan w:val="3"/>
            <w:tcBorders/>
            <w:shd w:fill="FFFFFF" w:val="clear"/>
            <w:tcMar>
              <w:top w:type="dxa" w:w="0"/>
              <w:left w:type="dxa" w:w="108"/>
              <w:bottom w:type="dxa" w:w="0"/>
              <w:right w:type="dxa" w:w="108"/>
            </w:tcMar>
          </w:tcPr>
          <w:p>
            <w:pPr>
              <w:pStyle w:val="style76"/>
            </w:pPr>
            <w:r>
              <w:rPr>
                <w:b/>
                <w:bCs/>
              </w:rPr>
              <w:t>Philosophy of Education 4 weeks</w:t>
            </w:r>
          </w:p>
        </w:tc>
      </w:tr>
      <w:tr>
        <w:trPr>
          <w:cantSplit w:val="false"/>
        </w:trPr>
        <w:tc>
          <w:tcPr>
            <w:tcW w:type="dxa" w:w="3084"/>
            <w:tcBorders>
              <w:top w:color="000001" w:space="0" w:sz="2" w:val="single"/>
            </w:tcBorders>
            <w:shd w:fill="FFFFFF" w:val="clear"/>
            <w:tcMar>
              <w:top w:type="dxa" w:w="0"/>
              <w:left w:type="dxa" w:w="108"/>
              <w:bottom w:type="dxa" w:w="0"/>
              <w:right w:type="dxa" w:w="108"/>
            </w:tcMar>
          </w:tcPr>
          <w:p>
            <w:pPr>
              <w:pStyle w:val="style76"/>
            </w:pPr>
            <w:r>
              <w:rPr/>
            </w:r>
          </w:p>
        </w:tc>
        <w:tc>
          <w:tcPr>
            <w:tcW w:type="dxa" w:w="3084"/>
            <w:tcBorders>
              <w:top w:color="000001" w:space="0" w:sz="2" w:val="single"/>
            </w:tcBorders>
            <w:shd w:fill="FFFFFF" w:val="clear"/>
            <w:tcMar>
              <w:top w:type="dxa" w:w="0"/>
              <w:left w:type="dxa" w:w="108"/>
              <w:bottom w:type="dxa" w:w="0"/>
              <w:right w:type="dxa" w:w="108"/>
            </w:tcMar>
          </w:tcPr>
          <w:p>
            <w:pPr>
              <w:pStyle w:val="style76"/>
            </w:pPr>
            <w:r>
              <w:rPr/>
              <w:t>03/04/13:</w:t>
            </w:r>
          </w:p>
        </w:tc>
        <w:tc>
          <w:tcPr>
            <w:tcW w:type="dxa" w:w="3084"/>
            <w:tcBorders>
              <w:top w:color="000001" w:space="0" w:sz="2" w:val="single"/>
            </w:tcBorders>
            <w:shd w:fill="FFFFFF" w:val="clear"/>
            <w:tcMar>
              <w:top w:type="dxa" w:w="0"/>
              <w:left w:type="dxa" w:w="108"/>
              <w:bottom w:type="dxa" w:w="0"/>
              <w:right w:type="dxa" w:w="108"/>
            </w:tcMar>
          </w:tcPr>
          <w:p>
            <w:pPr>
              <w:pStyle w:val="style76"/>
            </w:pPr>
            <w:r>
              <w:rPr>
                <w:rStyle w:val="style15"/>
              </w:rPr>
              <w:t>Foundations</w:t>
            </w:r>
            <w:r>
              <w:rPr/>
              <w:t>: Chapter 4</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03/11/13:</w:t>
            </w:r>
          </w:p>
        </w:tc>
        <w:tc>
          <w:tcPr>
            <w:tcW w:type="dxa" w:w="3084"/>
            <w:tcBorders/>
            <w:shd w:fill="FFFFFF" w:val="clear"/>
            <w:tcMar>
              <w:top w:type="dxa" w:w="0"/>
              <w:left w:type="dxa" w:w="108"/>
              <w:bottom w:type="dxa" w:w="0"/>
              <w:right w:type="dxa" w:w="108"/>
            </w:tcMar>
          </w:tcPr>
          <w:p>
            <w:pPr>
              <w:pStyle w:val="style76"/>
            </w:pPr>
            <w:r>
              <w:rPr/>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03/18/13:</w:t>
            </w:r>
          </w:p>
        </w:tc>
        <w:tc>
          <w:tcPr>
            <w:tcW w:type="dxa" w:w="3084"/>
            <w:tcBorders/>
            <w:shd w:fill="FFFFFF" w:val="clear"/>
            <w:tcMar>
              <w:top w:type="dxa" w:w="0"/>
              <w:left w:type="dxa" w:w="108"/>
              <w:bottom w:type="dxa" w:w="0"/>
              <w:right w:type="dxa" w:w="108"/>
            </w:tcMar>
          </w:tcPr>
          <w:p>
            <w:pPr>
              <w:pStyle w:val="style76"/>
            </w:pPr>
            <w:r>
              <w:rPr>
                <w:rStyle w:val="style15"/>
              </w:rPr>
              <w:t>Foundations</w:t>
            </w:r>
            <w:r>
              <w:rPr/>
              <w:t>: Chapter 5</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03/25/13:</w:t>
            </w:r>
          </w:p>
        </w:tc>
        <w:tc>
          <w:tcPr>
            <w:tcW w:type="dxa" w:w="3084"/>
            <w:tcBorders/>
            <w:shd w:fill="FFFFFF" w:val="clear"/>
            <w:tcMar>
              <w:top w:type="dxa" w:w="0"/>
              <w:left w:type="dxa" w:w="108"/>
              <w:bottom w:type="dxa" w:w="0"/>
              <w:right w:type="dxa" w:w="108"/>
            </w:tcMar>
          </w:tcPr>
          <w:p>
            <w:pPr>
              <w:pStyle w:val="style76"/>
            </w:pPr>
            <w:r>
              <w:rPr/>
              <w:t>Second Classroom observation due</w:t>
            </w:r>
          </w:p>
        </w:tc>
      </w:tr>
      <w:tr>
        <w:trPr>
          <w:cantSplit w:val="false"/>
        </w:trPr>
        <w:tc>
          <w:tcPr>
            <w:tcW w:type="dxa" w:w="3084"/>
            <w:gridSpan w:val="3"/>
            <w:tcBorders/>
            <w:shd w:fill="FFFFFF" w:val="clear"/>
            <w:tcMar>
              <w:top w:type="dxa" w:w="0"/>
              <w:left w:type="dxa" w:w="108"/>
              <w:bottom w:type="dxa" w:w="0"/>
              <w:right w:type="dxa" w:w="108"/>
            </w:tcMar>
          </w:tcPr>
          <w:p>
            <w:pPr>
              <w:pStyle w:val="style76"/>
            </w:pPr>
            <w:r>
              <w:rPr>
                <w:b/>
                <w:bCs/>
              </w:rPr>
              <w:t>Sociology and education 2 weeks</w:t>
            </w:r>
          </w:p>
        </w:tc>
      </w:tr>
      <w:tr>
        <w:trPr>
          <w:cantSplit w:val="false"/>
        </w:trPr>
        <w:tc>
          <w:tcPr>
            <w:tcW w:type="dxa" w:w="3084"/>
            <w:tcBorders>
              <w:top w:color="000001" w:space="0" w:sz="2" w:val="single"/>
            </w:tcBorders>
            <w:shd w:fill="FFFFFF" w:val="clear"/>
            <w:tcMar>
              <w:top w:type="dxa" w:w="0"/>
              <w:left w:type="dxa" w:w="108"/>
              <w:bottom w:type="dxa" w:w="0"/>
              <w:right w:type="dxa" w:w="108"/>
            </w:tcMar>
          </w:tcPr>
          <w:p>
            <w:pPr>
              <w:pStyle w:val="style76"/>
            </w:pPr>
            <w:r>
              <w:rPr/>
            </w:r>
          </w:p>
        </w:tc>
        <w:tc>
          <w:tcPr>
            <w:tcW w:type="dxa" w:w="3084"/>
            <w:tcBorders>
              <w:top w:color="000001" w:space="0" w:sz="2" w:val="single"/>
            </w:tcBorders>
            <w:shd w:fill="FFFFFF" w:val="clear"/>
            <w:tcMar>
              <w:top w:type="dxa" w:w="0"/>
              <w:left w:type="dxa" w:w="108"/>
              <w:bottom w:type="dxa" w:w="0"/>
              <w:right w:type="dxa" w:w="108"/>
            </w:tcMar>
          </w:tcPr>
          <w:p>
            <w:pPr>
              <w:pStyle w:val="style76"/>
            </w:pPr>
            <w:r>
              <w:rPr/>
              <w:t>04/01/13:</w:t>
            </w:r>
          </w:p>
        </w:tc>
        <w:tc>
          <w:tcPr>
            <w:tcW w:type="dxa" w:w="3084"/>
            <w:tcBorders>
              <w:top w:color="000001" w:space="0" w:sz="2" w:val="single"/>
            </w:tcBorders>
            <w:shd w:fill="FFFFFF" w:val="clear"/>
            <w:tcMar>
              <w:top w:type="dxa" w:w="0"/>
              <w:left w:type="dxa" w:w="108"/>
              <w:bottom w:type="dxa" w:w="0"/>
              <w:right w:type="dxa" w:w="108"/>
            </w:tcMar>
          </w:tcPr>
          <w:p>
            <w:pPr>
              <w:pStyle w:val="style76"/>
            </w:pPr>
            <w:r>
              <w:rPr>
                <w:rStyle w:val="style15"/>
              </w:rPr>
              <w:t>Foundations</w:t>
            </w:r>
            <w:r>
              <w:rPr/>
              <w:t>: Chapter 7</w:t>
            </w:r>
          </w:p>
        </w:tc>
      </w:tr>
      <w:tr>
        <w:trPr>
          <w:cantSplit w:val="false"/>
        </w:trPr>
        <w:tc>
          <w:tcPr>
            <w:tcW w:type="dxa" w:w="3084"/>
            <w:tcBorders/>
            <w:shd w:fill="FFFFFF" w:val="clear"/>
            <w:tcMar>
              <w:top w:type="dxa" w:w="0"/>
              <w:left w:type="dxa" w:w="108"/>
              <w:bottom w:type="dxa" w:w="0"/>
              <w:right w:type="dxa" w:w="108"/>
            </w:tcMar>
          </w:tcPr>
          <w:p>
            <w:pPr>
              <w:pStyle w:val="style76"/>
            </w:pPr>
            <w:r>
              <w:rPr/>
            </w:r>
          </w:p>
        </w:tc>
        <w:tc>
          <w:tcPr>
            <w:tcW w:type="dxa" w:w="3084"/>
            <w:tcBorders/>
            <w:shd w:fill="FFFFFF" w:val="clear"/>
            <w:tcMar>
              <w:top w:type="dxa" w:w="0"/>
              <w:left w:type="dxa" w:w="108"/>
              <w:bottom w:type="dxa" w:w="0"/>
              <w:right w:type="dxa" w:w="108"/>
            </w:tcMar>
          </w:tcPr>
          <w:p>
            <w:pPr>
              <w:pStyle w:val="style76"/>
            </w:pPr>
            <w:r>
              <w:rPr/>
              <w:t>04/08/13:</w:t>
            </w:r>
          </w:p>
        </w:tc>
        <w:tc>
          <w:tcPr>
            <w:tcW w:type="dxa" w:w="3084"/>
            <w:tcBorders/>
            <w:shd w:fill="FFFFFF" w:val="clear"/>
            <w:tcMar>
              <w:top w:type="dxa" w:w="0"/>
              <w:left w:type="dxa" w:w="108"/>
              <w:bottom w:type="dxa" w:w="0"/>
              <w:right w:type="dxa" w:w="108"/>
            </w:tcMar>
          </w:tcPr>
          <w:p>
            <w:pPr>
              <w:pStyle w:val="style76"/>
            </w:pPr>
            <w:r>
              <w:rPr/>
            </w:r>
          </w:p>
        </w:tc>
      </w:tr>
      <w:tr>
        <w:trPr>
          <w:cantSplit w:val="false"/>
        </w:trPr>
        <w:tc>
          <w:tcPr>
            <w:tcW w:type="dxa" w:w="3084"/>
            <w:gridSpan w:val="3"/>
            <w:tcBorders/>
            <w:shd w:fill="FFFFFF" w:val="clear"/>
            <w:tcMar>
              <w:top w:type="dxa" w:w="0"/>
              <w:left w:type="dxa" w:w="108"/>
              <w:bottom w:type="dxa" w:w="0"/>
              <w:right w:type="dxa" w:w="108"/>
            </w:tcMar>
          </w:tcPr>
          <w:p>
            <w:pPr>
              <w:pStyle w:val="style76"/>
            </w:pPr>
            <w:r>
              <w:rPr>
                <w:b/>
                <w:bCs/>
              </w:rPr>
              <w:t>Recent reform issues 2 weeks</w:t>
            </w:r>
          </w:p>
        </w:tc>
      </w:tr>
      <w:tr>
        <w:trPr>
          <w:cantSplit w:val="false"/>
        </w:trPr>
        <w:tc>
          <w:tcPr>
            <w:tcW w:type="dxa" w:w="3084"/>
            <w:tcBorders>
              <w:top w:color="000001" w:space="0" w:sz="2" w:val="single"/>
            </w:tcBorders>
            <w:shd w:fill="FFFFFF" w:val="clear"/>
            <w:tcMar>
              <w:top w:type="dxa" w:w="0"/>
              <w:left w:type="dxa" w:w="108"/>
              <w:bottom w:type="dxa" w:w="0"/>
              <w:right w:type="dxa" w:w="108"/>
            </w:tcMar>
          </w:tcPr>
          <w:p>
            <w:pPr>
              <w:pStyle w:val="style76"/>
            </w:pPr>
            <w:r>
              <w:rPr/>
            </w:r>
          </w:p>
        </w:tc>
        <w:tc>
          <w:tcPr>
            <w:tcW w:type="dxa" w:w="3084"/>
            <w:tcBorders>
              <w:top w:color="000001" w:space="0" w:sz="2" w:val="single"/>
            </w:tcBorders>
            <w:shd w:fill="FFFFFF" w:val="clear"/>
            <w:tcMar>
              <w:top w:type="dxa" w:w="0"/>
              <w:left w:type="dxa" w:w="108"/>
              <w:bottom w:type="dxa" w:w="0"/>
              <w:right w:type="dxa" w:w="108"/>
            </w:tcMar>
          </w:tcPr>
          <w:p>
            <w:pPr>
              <w:pStyle w:val="style76"/>
            </w:pPr>
            <w:r>
              <w:rPr/>
              <w:t>04/15/13:</w:t>
            </w:r>
          </w:p>
        </w:tc>
        <w:tc>
          <w:tcPr>
            <w:tcW w:type="dxa" w:w="3084"/>
            <w:tcBorders>
              <w:top w:color="000001" w:space="0" w:sz="2" w:val="single"/>
            </w:tcBorders>
            <w:shd w:fill="FFFFFF" w:val="clear"/>
            <w:tcMar>
              <w:top w:type="dxa" w:w="0"/>
              <w:left w:type="dxa" w:w="108"/>
              <w:bottom w:type="dxa" w:w="0"/>
              <w:right w:type="dxa" w:w="108"/>
            </w:tcMar>
          </w:tcPr>
          <w:p>
            <w:pPr>
              <w:pStyle w:val="style76"/>
            </w:pPr>
            <w:r>
              <w:rPr/>
              <w:t>Handouts and independent reports</w:t>
            </w:r>
          </w:p>
        </w:tc>
      </w:tr>
      <w:tr>
        <w:trPr>
          <w:cantSplit w:val="false"/>
        </w:trPr>
        <w:tc>
          <w:tcPr>
            <w:tcW w:type="dxa" w:w="3084"/>
            <w:tcBorders>
              <w:bottom w:color="000001" w:space="0" w:sz="2" w:val="single"/>
            </w:tcBorders>
            <w:shd w:fill="FFFFFF" w:val="clear"/>
            <w:tcMar>
              <w:top w:type="dxa" w:w="0"/>
              <w:left w:type="dxa" w:w="108"/>
              <w:bottom w:type="dxa" w:w="0"/>
              <w:right w:type="dxa" w:w="108"/>
            </w:tcMar>
          </w:tcPr>
          <w:p>
            <w:pPr>
              <w:pStyle w:val="style76"/>
            </w:pPr>
            <w:r>
              <w:rPr/>
            </w:r>
          </w:p>
        </w:tc>
        <w:tc>
          <w:tcPr>
            <w:tcW w:type="dxa" w:w="3084"/>
            <w:tcBorders>
              <w:bottom w:color="000001" w:space="0" w:sz="2" w:val="single"/>
            </w:tcBorders>
            <w:shd w:fill="FFFFFF" w:val="clear"/>
            <w:tcMar>
              <w:top w:type="dxa" w:w="0"/>
              <w:left w:type="dxa" w:w="108"/>
              <w:bottom w:type="dxa" w:w="0"/>
              <w:right w:type="dxa" w:w="108"/>
            </w:tcMar>
          </w:tcPr>
          <w:p>
            <w:pPr>
              <w:pStyle w:val="style76"/>
            </w:pPr>
            <w:r>
              <w:rPr/>
              <w:t>04/22/13:</w:t>
            </w:r>
          </w:p>
        </w:tc>
        <w:tc>
          <w:tcPr>
            <w:tcW w:type="dxa" w:w="3084"/>
            <w:tcBorders>
              <w:bottom w:color="000001" w:space="0" w:sz="2" w:val="single"/>
            </w:tcBorders>
            <w:shd w:fill="FFFFFF" w:val="clear"/>
            <w:tcMar>
              <w:top w:type="dxa" w:w="0"/>
              <w:left w:type="dxa" w:w="108"/>
              <w:bottom w:type="dxa" w:w="0"/>
              <w:right w:type="dxa" w:w="108"/>
            </w:tcMar>
          </w:tcPr>
          <w:p>
            <w:pPr>
              <w:pStyle w:val="style76"/>
            </w:pPr>
            <w:r>
              <w:rPr/>
              <w:t>Third Classroom observation due</w:t>
            </w:r>
          </w:p>
        </w:tc>
      </w:tr>
    </w:tbl>
    <w:p>
      <w:pPr>
        <w:pStyle w:val="style0"/>
      </w:pPr>
      <w:r>
        <w:rPr/>
      </w:r>
    </w:p>
    <w:sectPr>
      <w:type w:val="continuous"/>
      <w:pgSz w:h="16838" w:w="11906"/>
      <w:pgMar w:bottom="1693" w:footer="1134" w:gutter="0" w:header="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mbria">
    <w:charset w:val="80"/>
    <w:family w:val="roman"/>
    <w:pitch w:val="default"/>
  </w:font>
  <w:font w:name="Symbol">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86"/>
      <w:jc w:val="center"/>
    </w:pPr>
    <w:r>
      <w:rPr/>
      <w:fldChar w:fldCharType="begin"/>
    </w:r>
    <w:r>
      <w:instrText> PAGE </w:instrText>
    </w:r>
    <w:r>
      <w:fldChar w:fldCharType="separate"/>
    </w:r>
    <w:r>
      <w:t>1</w:t>
    </w:r>
    <w:r>
      <w:fldChar w:fldCharType="end"/>
    </w:r>
  </w:p>
</w:ftr>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none"/>
      <w:suff w:val="nothing"/>
      <w:lvlText w:val=""/>
      <w:lvlJc w:val="left"/>
      <w:pPr>
        <w:ind w:hanging="432" w:left="432"/>
      </w:pPr>
    </w:lvl>
    <w:lvl w:ilvl="1">
      <w:start w:val="1"/>
      <w:numFmt w:val="none"/>
      <w:suff w:val="nothing"/>
      <w:lvlText w:val=""/>
      <w:lvlJc w:val="left"/>
      <w:pPr>
        <w:ind w:hanging="576" w:left="576"/>
      </w:pPr>
    </w:lvl>
    <w:lvl w:ilvl="2">
      <w:start w:val="1"/>
      <w:numFmt w:val="none"/>
      <w:suff w:val="nothing"/>
      <w:lvlText w:val=""/>
      <w:lvlJc w:val="left"/>
      <w:pPr>
        <w:ind w:hanging="720" w:left="720"/>
      </w:pPr>
    </w:lvl>
    <w:lvl w:ilvl="3">
      <w:start w:val="1"/>
      <w:numFmt w:val="none"/>
      <w:suff w:val="nothing"/>
      <w:lvlText w:val=""/>
      <w:lvlJc w:val="left"/>
      <w:pPr>
        <w:ind w:hanging="864" w:left="864"/>
      </w:pPr>
    </w:lvl>
    <w:lvl w:ilvl="4">
      <w:start w:val="1"/>
      <w:numFmt w:val="none"/>
      <w:suff w:val="nothing"/>
      <w:lvlText w:val=""/>
      <w:lvlJc w:val="left"/>
      <w:pPr>
        <w:ind w:hanging="1008" w:left="1008"/>
      </w:pPr>
    </w:lvl>
    <w:lvl w:ilvl="5">
      <w:start w:val="1"/>
      <w:numFmt w:val="none"/>
      <w:suff w:val="nothing"/>
      <w:lvlText w:val=""/>
      <w:lvlJc w:val="left"/>
      <w:pPr>
        <w:ind w:hanging="1152" w:left="1152"/>
      </w:pPr>
    </w:lvl>
    <w:lvl w:ilvl="6">
      <w:start w:val="1"/>
      <w:numFmt w:val="none"/>
      <w:suff w:val="nothing"/>
      <w:lvlText w:val=""/>
      <w:lvlJc w:val="left"/>
      <w:pPr>
        <w:ind w:hanging="1296" w:left="1296"/>
      </w:pPr>
    </w:lvl>
    <w:lvl w:ilvl="7">
      <w:start w:val="1"/>
      <w:numFmt w:val="none"/>
      <w:suff w:val="nothing"/>
      <w:lvlText w:val=""/>
      <w:lvlJc w:val="left"/>
      <w:pPr>
        <w:ind w:hanging="1440" w:left="1440"/>
      </w:pPr>
    </w:lvl>
    <w:lvl w:ilvl="8">
      <w:start w:val="1"/>
      <w:numFmt w:val="none"/>
      <w:suff w:val="nothing"/>
      <w:lvlText w:val=""/>
      <w:lvlJc w:val="left"/>
      <w:pPr>
        <w:ind w:hanging="1584" w:left="1584"/>
      </w:pPr>
    </w:lvl>
  </w:abstractNum>
  <w:abstractNum w:abstractNumId="3">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Symbol" w:cs="Symbol" w:hAnsi="Symbol" w:hint="default"/>
      </w:rPr>
    </w:lvl>
    <w:lvl w:ilvl="2">
      <w:start w:val="1"/>
      <w:numFmt w:val="bullet"/>
      <w:lvlText w:val=""/>
      <w:lvlJc w:val="left"/>
      <w:pPr>
        <w:tabs>
          <w:tab w:pos="1440" w:val="num"/>
        </w:tabs>
        <w:ind w:hanging="360" w:left="1440"/>
      </w:pPr>
      <w:rPr>
        <w:rFonts w:ascii="Symbol" w:cs="Symbol" w:hAnsi="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Symbol" w:cs="Symbol" w:hAnsi="Symbol" w:hint="default"/>
      </w:rPr>
    </w:lvl>
    <w:lvl w:ilvl="5">
      <w:start w:val="1"/>
      <w:numFmt w:val="bullet"/>
      <w:lvlText w:val=""/>
      <w:lvlJc w:val="left"/>
      <w:pPr>
        <w:tabs>
          <w:tab w:pos="2520" w:val="num"/>
        </w:tabs>
        <w:ind w:hanging="360" w:left="2520"/>
      </w:pPr>
      <w:rPr>
        <w:rFonts w:ascii="Symbol" w:cs="Symbol" w:hAnsi="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Symbol" w:cs="Symbol" w:hAnsi="Symbol" w:hint="default"/>
      </w:rPr>
    </w:lvl>
    <w:lvl w:ilvl="8">
      <w:start w:val="1"/>
      <w:numFmt w:val="bullet"/>
      <w:lvlText w:val=""/>
      <w:lvlJc w:val="left"/>
      <w:pPr>
        <w:tabs>
          <w:tab w:pos="3600" w:val="num"/>
        </w:tabs>
        <w:ind w:hanging="360" w:left="3600"/>
      </w:pPr>
      <w:rPr>
        <w:rFonts w:ascii="Symbol" w:cs="Symbol" w:hAnsi="Symbol" w:hint="default"/>
      </w:rPr>
    </w:lvl>
  </w:abstractNum>
  <w:abstractNum w:abstractNumId="4">
    <w:lvl w:ilvl="0">
      <w:start w:val="1"/>
      <w:numFmt w:val="decimal"/>
      <w:lvlText w:val="%1."/>
      <w:lvlJc w:val="left"/>
      <w:pPr>
        <w:tabs>
          <w:tab w:pos="720" w:val="num"/>
        </w:tabs>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5">
    <w:lvl w:ilvl="0">
      <w:start w:val="1"/>
      <w:numFmt w:val="decimal"/>
      <w:lvlText w:val="%1."/>
      <w:lvlJc w:val="left"/>
      <w:pPr>
        <w:tabs>
          <w:tab w:pos="720" w:val="num"/>
        </w:tabs>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6">
    <w:lvl w:ilvl="0">
      <w:start w:val="1"/>
      <w:numFmt w:val="decimal"/>
      <w:lvlText w:val="%1."/>
      <w:lvlJc w:val="left"/>
      <w:pPr>
        <w:tabs>
          <w:tab w:pos="720" w:val="num"/>
        </w:tabs>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7">
    <w:lvl w:ilvl="0">
      <w:start w:val="1"/>
      <w:numFmt w:val="decimal"/>
      <w:lvlText w:val="%1."/>
      <w:lvlJc w:val="left"/>
      <w:pPr>
        <w:tabs>
          <w:tab w:pos="720" w:val="num"/>
        </w:tabs>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8">
    <w:lvl w:ilvl="0">
      <w:start w:val="1"/>
      <w:numFmt w:val="decimal"/>
      <w:lvlText w:val="%1."/>
      <w:lvlJc w:val="left"/>
      <w:pPr>
        <w:tabs>
          <w:tab w:pos="720" w:val="num"/>
        </w:tabs>
        <w:ind w:hanging="360" w:left="720"/>
      </w:p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settings>
</file>

<file path=word/styles.xml><?xml version="1.0" encoding="utf-8"?>
<w:styles xmlns:w="http://schemas.openxmlformats.org/wordprocessingml/2006/main">
  <w:style w:styleId="style0" w:type="paragraph">
    <w:name w:val="Normal"/>
    <w:next w:val="style0"/>
    <w:pPr>
      <w:widowControl w:val="false"/>
      <w:tabs/>
      <w:suppressAutoHyphens w:val="true"/>
      <w:overflowPunct w:val="false"/>
    </w:pPr>
    <w:rPr>
      <w:rFonts w:ascii="Times New Roman" w:cs="Tahoma" w:eastAsia="SimSun" w:hAnsi="Times New Roman"/>
      <w:color w:val="00000A"/>
      <w:sz w:val="24"/>
      <w:szCs w:val="24"/>
      <w:lang w:bidi="hi-IN" w:eastAsia="zh-CN" w:val="en-GB"/>
    </w:rPr>
  </w:style>
  <w:style w:styleId="style1" w:type="paragraph">
    <w:name w:val="Heading 1"/>
    <w:basedOn w:val="style37"/>
    <w:next w:val="style38"/>
    <w:pPr/>
    <w:rPr>
      <w:b/>
      <w:bCs/>
      <w:sz w:val="32"/>
      <w:szCs w:val="32"/>
    </w:rPr>
  </w:style>
  <w:style w:styleId="style2" w:type="paragraph">
    <w:name w:val="Heading 2"/>
    <w:basedOn w:val="style37"/>
    <w:next w:val="style38"/>
    <w:pPr>
      <w:numPr>
        <w:ilvl w:val="1"/>
        <w:numId w:val="1"/>
      </w:numPr>
      <w:outlineLvl w:val="1"/>
    </w:pPr>
    <w:rPr>
      <w:b/>
      <w:bCs/>
      <w:i/>
      <w:iCs/>
      <w:sz w:val="28"/>
      <w:szCs w:val="28"/>
    </w:rPr>
  </w:style>
  <w:style w:styleId="style3" w:type="paragraph">
    <w:name w:val="Heading 3"/>
    <w:basedOn w:val="style37"/>
    <w:next w:val="style38"/>
    <w:pPr>
      <w:numPr>
        <w:ilvl w:val="2"/>
        <w:numId w:val="1"/>
      </w:numPr>
      <w:outlineLvl w:val="2"/>
    </w:pPr>
    <w:rPr>
      <w:b/>
      <w:bCs/>
      <w:sz w:val="28"/>
      <w:szCs w:val="28"/>
    </w:rPr>
  </w:style>
  <w:style w:styleId="style4" w:type="paragraph">
    <w:name w:val="Heading 4"/>
    <w:basedOn w:val="style37"/>
    <w:next w:val="style38"/>
    <w:pPr>
      <w:numPr>
        <w:ilvl w:val="3"/>
        <w:numId w:val="1"/>
      </w:numPr>
      <w:outlineLvl w:val="3"/>
    </w:pPr>
    <w:rPr>
      <w:b/>
      <w:bCs/>
      <w:i/>
      <w:iCs/>
      <w:sz w:val="24"/>
      <w:szCs w:val="24"/>
    </w:rPr>
  </w:style>
  <w:style w:styleId="style5" w:type="paragraph">
    <w:name w:val="Heading 5"/>
    <w:basedOn w:val="style37"/>
    <w:next w:val="style38"/>
    <w:pPr>
      <w:numPr>
        <w:ilvl w:val="4"/>
        <w:numId w:val="1"/>
      </w:numPr>
      <w:outlineLvl w:val="4"/>
    </w:pPr>
    <w:rPr>
      <w:b/>
      <w:bCs/>
      <w:sz w:val="24"/>
      <w:szCs w:val="24"/>
    </w:rPr>
  </w:style>
  <w:style w:styleId="style6" w:type="paragraph">
    <w:name w:val="Heading 6"/>
    <w:basedOn w:val="style37"/>
    <w:next w:val="style38"/>
    <w:pPr>
      <w:numPr>
        <w:ilvl w:val="5"/>
        <w:numId w:val="1"/>
      </w:numPr>
      <w:outlineLvl w:val="5"/>
    </w:pPr>
    <w:rPr>
      <w:b/>
      <w:bCs/>
      <w:sz w:val="21"/>
      <w:szCs w:val="21"/>
    </w:rPr>
  </w:style>
  <w:style w:styleId="style7" w:type="paragraph">
    <w:name w:val="Heading 7"/>
    <w:basedOn w:val="style37"/>
    <w:next w:val="style38"/>
    <w:pPr>
      <w:numPr>
        <w:ilvl w:val="6"/>
        <w:numId w:val="1"/>
      </w:numPr>
      <w:outlineLvl w:val="6"/>
    </w:pPr>
    <w:rPr>
      <w:b/>
      <w:bCs/>
      <w:sz w:val="21"/>
      <w:szCs w:val="21"/>
    </w:rPr>
  </w:style>
  <w:style w:styleId="style8" w:type="paragraph">
    <w:name w:val="Heading 8"/>
    <w:basedOn w:val="style37"/>
    <w:next w:val="style38"/>
    <w:pPr>
      <w:numPr>
        <w:ilvl w:val="7"/>
        <w:numId w:val="1"/>
      </w:numPr>
      <w:outlineLvl w:val="7"/>
    </w:pPr>
    <w:rPr>
      <w:b/>
      <w:bCs/>
      <w:sz w:val="21"/>
      <w:szCs w:val="21"/>
    </w:rPr>
  </w:style>
  <w:style w:styleId="style9" w:type="paragraph">
    <w:name w:val="Heading 9"/>
    <w:basedOn w:val="style37"/>
    <w:next w:val="style38"/>
    <w:pPr>
      <w:numPr>
        <w:ilvl w:val="8"/>
        <w:numId w:val="1"/>
      </w:numPr>
      <w:outlineLvl w:val="8"/>
    </w:pPr>
    <w:rPr>
      <w:b/>
      <w:bCs/>
      <w:sz w:val="21"/>
      <w:szCs w:val="21"/>
    </w:rPr>
  </w:style>
  <w:style w:styleId="style15" w:type="character">
    <w:name w:val="Emphasis"/>
    <w:next w:val="style15"/>
    <w:rPr>
      <w:i/>
      <w:iCs/>
    </w:rPr>
  </w:style>
  <w:style w:styleId="style16" w:type="character">
    <w:name w:val="Underline"/>
    <w:next w:val="style16"/>
    <w:rPr>
      <w:u w:val="single"/>
      <w:shd w:fill="FFFFFF" w:val="clear"/>
    </w:rPr>
  </w:style>
  <w:style w:styleId="style17" w:type="character">
    <w:name w:val="Strikethrough"/>
    <w:next w:val="style17"/>
    <w:rPr>
      <w:strike/>
    </w:rPr>
  </w:style>
  <w:style w:styleId="style18" w:type="character">
    <w:name w:val="Source Text"/>
    <w:next w:val="style18"/>
    <w:rPr>
      <w:rFonts w:ascii="Courier New" w:cs="Courier New" w:eastAsia="NSimSun" w:hAnsi="Courier New"/>
      <w:shd w:fill="FFFFFF" w:val="clear"/>
    </w:rPr>
  </w:style>
  <w:style w:styleId="style19" w:type="character">
    <w:name w:val="Quotation"/>
    <w:next w:val="style19"/>
    <w:rPr>
      <w:i/>
      <w:iCs/>
    </w:rPr>
  </w:style>
  <w:style w:styleId="style20" w:type="character">
    <w:name w:val="Example"/>
    <w:next w:val="style20"/>
    <w:rPr>
      <w:rFonts w:ascii="Courier New" w:cs="Courier New" w:eastAsia="NSimSun" w:hAnsi="Courier New"/>
      <w:shd w:fill="FFFFFF" w:val="clear"/>
    </w:rPr>
  </w:style>
  <w:style w:styleId="style21" w:type="character">
    <w:name w:val="OrgCode"/>
    <w:basedOn w:val="style18"/>
    <w:next w:val="style21"/>
    <w:rPr/>
  </w:style>
  <w:style w:styleId="style22" w:type="character">
    <w:name w:val="OrgTodo"/>
    <w:next w:val="style22"/>
    <w:rPr>
      <w:color w:val="FF0000"/>
    </w:rPr>
  </w:style>
  <w:style w:styleId="style23" w:type="character">
    <w:name w:val="OrgDone"/>
    <w:next w:val="style23"/>
    <w:rPr>
      <w:color w:val="008000"/>
    </w:rPr>
  </w:style>
  <w:style w:styleId="style24" w:type="character">
    <w:name w:val="OrgTag"/>
    <w:next w:val="style24"/>
    <w:rPr>
      <w:shd w:fill="ADD8E6" w:val="clear"/>
    </w:rPr>
  </w:style>
  <w:style w:styleId="style25" w:type="character">
    <w:name w:val="OrgTimestamp"/>
    <w:next w:val="style25"/>
    <w:rPr>
      <w:color w:val="BEBEBE"/>
    </w:rPr>
  </w:style>
  <w:style w:styleId="style26" w:type="character">
    <w:name w:val="OrgTimestampKeyword"/>
    <w:next w:val="style26"/>
    <w:rPr>
      <w:color w:val="5F9EA0"/>
    </w:rPr>
  </w:style>
  <w:style w:styleId="style27" w:type="character">
    <w:name w:val="OrgTimestampWrapper"/>
    <w:next w:val="style27"/>
    <w:rPr/>
  </w:style>
  <w:style w:styleId="style28" w:type="character">
    <w:name w:val="OrgTarget"/>
    <w:next w:val="style28"/>
    <w:rPr/>
  </w:style>
  <w:style w:styleId="style29" w:type="character">
    <w:name w:val="Bold"/>
    <w:next w:val="style29"/>
    <w:rPr>
      <w:b/>
    </w:rPr>
  </w:style>
  <w:style w:styleId="style30" w:type="character">
    <w:name w:val="Footnote anchor"/>
    <w:next w:val="style30"/>
    <w:rPr>
      <w:vertAlign w:val="superscript"/>
    </w:rPr>
  </w:style>
  <w:style w:styleId="style31" w:type="character">
    <w:name w:val="OrgSuperscript"/>
    <w:next w:val="style31"/>
    <w:rPr>
      <w:vertAlign w:val="superscript"/>
    </w:rPr>
  </w:style>
  <w:style w:styleId="style32" w:type="character">
    <w:name w:val="OrgSubscript"/>
    <w:next w:val="style32"/>
    <w:rPr>
      <w:vertAlign w:val="subscript"/>
    </w:rPr>
  </w:style>
  <w:style w:styleId="style33" w:type="character">
    <w:name w:val="Internet Link"/>
    <w:next w:val="style33"/>
    <w:rPr>
      <w:color w:val="000080"/>
      <w:u w:val="single"/>
      <w:lang w:bidi="en-US" w:eastAsia="en-US" w:val="en-US"/>
    </w:rPr>
  </w:style>
  <w:style w:styleId="style34" w:type="character">
    <w:name w:val="Bullet_20_Symbols"/>
    <w:next w:val="style34"/>
    <w:rPr/>
  </w:style>
  <w:style w:styleId="style35" w:type="character">
    <w:name w:val="ListLabel 1"/>
    <w:next w:val="style35"/>
    <w:rPr>
      <w:rFonts w:cs="Symbol"/>
    </w:rPr>
  </w:style>
  <w:style w:styleId="style36" w:type="character">
    <w:name w:val="Index Link"/>
    <w:next w:val="style36"/>
    <w:rPr/>
  </w:style>
  <w:style w:styleId="style37" w:type="paragraph">
    <w:name w:val="Heading"/>
    <w:basedOn w:val="style0"/>
    <w:next w:val="style38"/>
    <w:pPr>
      <w:keepNext/>
      <w:spacing w:after="120" w:before="240"/>
      <w:contextualSpacing w:val="false"/>
    </w:pPr>
    <w:rPr>
      <w:rFonts w:ascii="Arial" w:cs="Tahoma" w:eastAsia="SimSun" w:hAnsi="Arial"/>
      <w:sz w:val="28"/>
      <w:szCs w:val="28"/>
    </w:rPr>
  </w:style>
  <w:style w:styleId="style38" w:type="paragraph">
    <w:name w:val="Text body"/>
    <w:basedOn w:val="style0"/>
    <w:next w:val="style38"/>
    <w:pPr>
      <w:spacing w:after="120" w:before="0"/>
      <w:contextualSpacing w:val="false"/>
    </w:pPr>
    <w:rPr/>
  </w:style>
  <w:style w:styleId="style39" w:type="paragraph">
    <w:name w:val="List"/>
    <w:basedOn w:val="style38"/>
    <w:next w:val="style39"/>
    <w:pPr/>
    <w:rPr>
      <w:rFonts w:ascii="Cambria" w:cs="Tahoma" w:hAnsi="Cambria"/>
    </w:rPr>
  </w:style>
  <w:style w:styleId="style40" w:type="paragraph">
    <w:name w:val="Caption"/>
    <w:basedOn w:val="style0"/>
    <w:next w:val="style40"/>
    <w:pPr>
      <w:suppressLineNumbers/>
      <w:spacing w:after="120" w:before="120"/>
      <w:contextualSpacing w:val="false"/>
    </w:pPr>
    <w:rPr>
      <w:rFonts w:ascii="Cambria" w:cs="Tahoma" w:hAnsi="Cambria"/>
      <w:i/>
      <w:iCs/>
      <w:sz w:val="24"/>
      <w:szCs w:val="24"/>
    </w:rPr>
  </w:style>
  <w:style w:styleId="style41" w:type="paragraph">
    <w:name w:val="Index"/>
    <w:basedOn w:val="style0"/>
    <w:next w:val="style41"/>
    <w:pPr>
      <w:suppressLineNumbers/>
    </w:pPr>
    <w:rPr>
      <w:rFonts w:ascii="Cambria" w:cs="Tahoma" w:hAnsi="Cambria"/>
    </w:rPr>
  </w:style>
  <w:style w:styleId="style42" w:type="paragraph">
    <w:name w:val="Heading 10"/>
    <w:basedOn w:val="style37"/>
    <w:next w:val="style38"/>
    <w:pPr>
      <w:numPr>
        <w:ilvl w:val="8"/>
        <w:numId w:val="1"/>
      </w:numPr>
      <w:outlineLvl w:val="8"/>
    </w:pPr>
    <w:rPr>
      <w:b/>
      <w:bCs/>
      <w:sz w:val="21"/>
      <w:szCs w:val="21"/>
    </w:rPr>
  </w:style>
  <w:style w:styleId="style43" w:type="paragraph">
    <w:name w:val="Heading 1.title"/>
    <w:basedOn w:val="style1"/>
    <w:next w:val="style43"/>
    <w:pPr>
      <w:jc w:val="center"/>
    </w:pPr>
    <w:rPr/>
  </w:style>
  <w:style w:styleId="style44" w:type="paragraph">
    <w:name w:val="Title"/>
    <w:basedOn w:val="style37"/>
    <w:next w:val="style45"/>
    <w:pPr>
      <w:jc w:val="center"/>
    </w:pPr>
    <w:rPr>
      <w:b/>
      <w:bCs/>
      <w:sz w:val="36"/>
      <w:szCs w:val="36"/>
    </w:rPr>
  </w:style>
  <w:style w:styleId="style45" w:type="paragraph">
    <w:name w:val="Subtitle"/>
    <w:basedOn w:val="style37"/>
    <w:next w:val="style38"/>
    <w:pPr>
      <w:jc w:val="center"/>
    </w:pPr>
    <w:rPr>
      <w:i/>
      <w:iCs/>
      <w:sz w:val="28"/>
      <w:szCs w:val="28"/>
    </w:rPr>
  </w:style>
  <w:style w:styleId="style46" w:type="paragraph">
    <w:name w:val="OrgTitle"/>
    <w:basedOn w:val="style44"/>
    <w:next w:val="style46"/>
    <w:pPr>
      <w:spacing w:after="0" w:before="0"/>
      <w:contextualSpacing w:val="false"/>
    </w:pPr>
    <w:rPr>
      <w:sz w:val="48"/>
    </w:rPr>
  </w:style>
  <w:style w:styleId="style47" w:type="paragraph">
    <w:name w:val="OrgSubtitle"/>
    <w:basedOn w:val="style45"/>
    <w:next w:val="style47"/>
    <w:pPr>
      <w:spacing w:after="0" w:before="0"/>
      <w:contextualSpacing w:val="false"/>
    </w:pPr>
    <w:rPr>
      <w:sz w:val="40"/>
    </w:rPr>
  </w:style>
  <w:style w:styleId="style48" w:type="paragraph">
    <w:name w:val="Text body indent"/>
    <w:basedOn w:val="style38"/>
    <w:next w:val="style48"/>
    <w:pPr>
      <w:ind w:hanging="0" w:left="283" w:right="0"/>
    </w:pPr>
    <w:rPr/>
  </w:style>
  <w:style w:styleId="style49" w:type="paragraph">
    <w:name w:val="List Indent"/>
    <w:basedOn w:val="style38"/>
    <w:next w:val="style49"/>
    <w:pPr>
      <w:tabs>
        <w:tab w:leader="none" w:pos="5670" w:val="left"/>
      </w:tabs>
      <w:ind w:hanging="2551" w:left="2835" w:right="0"/>
    </w:pPr>
    <w:rPr/>
  </w:style>
  <w:style w:styleId="style50" w:type="paragraph">
    <w:name w:val="First line indent"/>
    <w:basedOn w:val="style38"/>
    <w:next w:val="style50"/>
    <w:pPr>
      <w:ind w:firstLine="283" w:left="0" w:right="0"/>
    </w:pPr>
    <w:rPr/>
  </w:style>
  <w:style w:styleId="style51" w:type="paragraph">
    <w:name w:val="Hanging indent"/>
    <w:basedOn w:val="style38"/>
    <w:next w:val="style51"/>
    <w:pPr>
      <w:tabs>
        <w:tab w:leader="none" w:pos="1134" w:val="left"/>
      </w:tabs>
      <w:ind w:hanging="283" w:left="567" w:right="0"/>
    </w:pPr>
    <w:rPr/>
  </w:style>
  <w:style w:styleId="style52" w:type="paragraph">
    <w:name w:val="Complimentary close"/>
    <w:basedOn w:val="style0"/>
    <w:next w:val="style52"/>
    <w:pPr>
      <w:suppressLineNumbers/>
    </w:pPr>
    <w:rPr/>
  </w:style>
  <w:style w:styleId="style53" w:type="paragraph">
    <w:name w:val="Contents Heading"/>
    <w:basedOn w:val="style37"/>
    <w:next w:val="style53"/>
    <w:pPr>
      <w:suppressLineNumbers/>
      <w:ind w:hanging="0" w:left="0" w:right="0"/>
    </w:pPr>
    <w:rPr>
      <w:b/>
      <w:bCs/>
      <w:sz w:val="32"/>
      <w:szCs w:val="32"/>
    </w:rPr>
  </w:style>
  <w:style w:styleId="style54" w:type="paragraph">
    <w:name w:val="Contents 1"/>
    <w:basedOn w:val="style41"/>
    <w:next w:val="style54"/>
    <w:pPr>
      <w:tabs>
        <w:tab w:leader="dot" w:pos="9638" w:val="right"/>
      </w:tabs>
      <w:ind w:hanging="0" w:left="0" w:right="0"/>
    </w:pPr>
    <w:rPr/>
  </w:style>
  <w:style w:styleId="style55" w:type="paragraph">
    <w:name w:val="Contents 2"/>
    <w:basedOn w:val="style41"/>
    <w:next w:val="style55"/>
    <w:pPr>
      <w:tabs>
        <w:tab w:leader="dot" w:pos="9921" w:val="right"/>
      </w:tabs>
      <w:ind w:hanging="0" w:left="283" w:right="0"/>
    </w:pPr>
    <w:rPr/>
  </w:style>
  <w:style w:styleId="style56" w:type="paragraph">
    <w:name w:val="Contents 3"/>
    <w:basedOn w:val="style41"/>
    <w:next w:val="style56"/>
    <w:pPr>
      <w:tabs>
        <w:tab w:leader="dot" w:pos="10204" w:val="right"/>
      </w:tabs>
      <w:ind w:hanging="0" w:left="566" w:right="0"/>
    </w:pPr>
    <w:rPr/>
  </w:style>
  <w:style w:styleId="style57" w:type="paragraph">
    <w:name w:val="Contents 4"/>
    <w:basedOn w:val="style41"/>
    <w:next w:val="style57"/>
    <w:pPr>
      <w:tabs>
        <w:tab w:leader="dot" w:pos="10487" w:val="right"/>
      </w:tabs>
      <w:ind w:hanging="0" w:left="849" w:right="0"/>
    </w:pPr>
    <w:rPr/>
  </w:style>
  <w:style w:styleId="style58" w:type="paragraph">
    <w:name w:val="Contents 5"/>
    <w:basedOn w:val="style41"/>
    <w:next w:val="style58"/>
    <w:pPr>
      <w:tabs>
        <w:tab w:leader="dot" w:pos="10770" w:val="right"/>
      </w:tabs>
      <w:ind w:hanging="0" w:left="1132" w:right="0"/>
    </w:pPr>
    <w:rPr/>
  </w:style>
  <w:style w:styleId="style59" w:type="paragraph">
    <w:name w:val="Contents 6"/>
    <w:basedOn w:val="style41"/>
    <w:next w:val="style59"/>
    <w:pPr>
      <w:tabs>
        <w:tab w:leader="dot" w:pos="11053" w:val="right"/>
      </w:tabs>
      <w:ind w:hanging="0" w:left="1415" w:right="0"/>
    </w:pPr>
    <w:rPr/>
  </w:style>
  <w:style w:styleId="style60" w:type="paragraph">
    <w:name w:val="Contents 7"/>
    <w:basedOn w:val="style41"/>
    <w:next w:val="style60"/>
    <w:pPr>
      <w:tabs>
        <w:tab w:leader="dot" w:pos="11336" w:val="right"/>
      </w:tabs>
      <w:ind w:hanging="0" w:left="1698" w:right="0"/>
    </w:pPr>
    <w:rPr/>
  </w:style>
  <w:style w:styleId="style61" w:type="paragraph">
    <w:name w:val="Contents 8"/>
    <w:basedOn w:val="style41"/>
    <w:next w:val="style61"/>
    <w:pPr>
      <w:tabs>
        <w:tab w:leader="dot" w:pos="11619" w:val="right"/>
      </w:tabs>
      <w:ind w:hanging="0" w:left="1981" w:right="0"/>
    </w:pPr>
    <w:rPr/>
  </w:style>
  <w:style w:styleId="style62" w:type="paragraph">
    <w:name w:val="Contents 9"/>
    <w:basedOn w:val="style41"/>
    <w:next w:val="style62"/>
    <w:pPr>
      <w:tabs>
        <w:tab w:leader="dot" w:pos="11902" w:val="right"/>
      </w:tabs>
      <w:ind w:hanging="0" w:left="2264" w:right="0"/>
    </w:pPr>
    <w:rPr/>
  </w:style>
  <w:style w:styleId="style63" w:type="paragraph">
    <w:name w:val="Contents 10"/>
    <w:basedOn w:val="style41"/>
    <w:next w:val="style63"/>
    <w:pPr>
      <w:tabs>
        <w:tab w:leader="dot" w:pos="12185" w:val="right"/>
      </w:tabs>
      <w:ind w:hanging="0" w:left="2547" w:right="0"/>
    </w:pPr>
    <w:rPr/>
  </w:style>
  <w:style w:styleId="style64" w:type="paragraph">
    <w:name w:val="Quotations"/>
    <w:basedOn w:val="style0"/>
    <w:next w:val="style64"/>
    <w:pPr>
      <w:spacing w:after="283" w:before="0"/>
      <w:ind w:hanging="0" w:left="567" w:right="567"/>
      <w:contextualSpacing w:val="false"/>
    </w:pPr>
    <w:rPr/>
  </w:style>
  <w:style w:styleId="style65" w:type="paragraph">
    <w:name w:val="Preformatted Text"/>
    <w:basedOn w:val="style0"/>
    <w:next w:val="style65"/>
    <w:pPr>
      <w:spacing w:after="0" w:before="0"/>
      <w:contextualSpacing w:val="false"/>
    </w:pPr>
    <w:rPr>
      <w:rFonts w:ascii="Courier New" w:cs="Courier New" w:eastAsia="NSimSun" w:hAnsi="Courier New"/>
      <w:sz w:val="20"/>
      <w:szCs w:val="20"/>
    </w:rPr>
  </w:style>
  <w:style w:styleId="style66" w:type="paragraph">
    <w:name w:val="OrgVerse"/>
    <w:basedOn w:val="style65"/>
    <w:next w:val="style66"/>
    <w:pPr>
      <w:pBdr>
        <w:top w:color="000001" w:space="0" w:sz="4" w:val="single"/>
        <w:left w:color="000001" w:space="0" w:sz="4" w:val="single"/>
        <w:bottom w:color="000001" w:space="0" w:sz="4" w:val="single"/>
        <w:right w:color="000001" w:space="0" w:sz="4" w:val="single"/>
      </w:pBdr>
      <w:shd w:fill="C0C0C0" w:val="clear"/>
    </w:pPr>
    <w:rPr/>
  </w:style>
  <w:style w:styleId="style67" w:type="paragraph">
    <w:name w:val="OrgFixedWidthBlock"/>
    <w:basedOn w:val="style65"/>
    <w:next w:val="style67"/>
    <w:pPr>
      <w:pBdr>
        <w:top w:color="000001" w:space="0" w:sz="4" w:val="single"/>
        <w:left w:color="000001" w:space="0" w:sz="4" w:val="single"/>
        <w:bottom w:color="000001" w:space="0" w:sz="4" w:val="single"/>
        <w:right w:color="000001" w:space="0" w:sz="4" w:val="single"/>
      </w:pBdr>
      <w:shd w:fill="C0C0C0" w:val="clear"/>
    </w:pPr>
    <w:rPr/>
  </w:style>
  <w:style w:styleId="style68" w:type="paragraph">
    <w:name w:val="OrgFixedWidthBlockLastLine"/>
    <w:basedOn w:val="style67"/>
    <w:next w:val="style68"/>
    <w:pPr>
      <w:spacing w:after="119" w:before="0"/>
      <w:contextualSpacing w:val="false"/>
    </w:pPr>
    <w:rPr/>
  </w:style>
  <w:style w:styleId="style69" w:type="paragraph">
    <w:name w:val="OrgSrcBlockLastLine"/>
    <w:next w:val="style69"/>
    <w:pPr>
      <w:widowControl w:val="false"/>
      <w:tabs/>
      <w:suppressAutoHyphens w:val="true"/>
      <w:overflowPunct w:val="false"/>
      <w:spacing w:after="119" w:before="0"/>
      <w:contextualSpacing w:val="false"/>
    </w:pPr>
    <w:rPr>
      <w:rFonts w:ascii="Times New Roman" w:cs="Tahoma" w:eastAsia="SimSun" w:hAnsi="Times New Roman"/>
      <w:color w:val="00000A"/>
      <w:sz w:val="24"/>
      <w:szCs w:val="24"/>
      <w:lang w:bidi="hi-IN" w:eastAsia="zh-CN" w:val="en-GB"/>
    </w:rPr>
  </w:style>
  <w:style w:styleId="style70" w:type="paragraph">
    <w:name w:val="OrgCenter"/>
    <w:basedOn w:val="style38"/>
    <w:next w:val="style70"/>
    <w:pPr>
      <w:jc w:val="center"/>
    </w:pPr>
    <w:rPr/>
  </w:style>
  <w:style w:styleId="style71" w:type="paragraph">
    <w:name w:val="OrgTableContents"/>
    <w:basedOn w:val="style38"/>
    <w:next w:val="style71"/>
    <w:pPr/>
    <w:rPr/>
  </w:style>
  <w:style w:styleId="style72" w:type="paragraph">
    <w:name w:val="OrgTableHeading"/>
    <w:basedOn w:val="style71"/>
    <w:next w:val="style72"/>
    <w:pPr>
      <w:suppressLineNumbers/>
      <w:jc w:val="center"/>
    </w:pPr>
    <w:rPr>
      <w:b/>
      <w:bCs/>
    </w:rPr>
  </w:style>
  <w:style w:styleId="style73" w:type="paragraph">
    <w:name w:val="OrgTableHeadingLeft"/>
    <w:basedOn w:val="style72"/>
    <w:next w:val="style73"/>
    <w:pPr>
      <w:jc w:val="left"/>
    </w:pPr>
    <w:rPr/>
  </w:style>
  <w:style w:styleId="style74" w:type="paragraph">
    <w:name w:val="OrgTableHeadingRight"/>
    <w:basedOn w:val="style72"/>
    <w:next w:val="style74"/>
    <w:pPr>
      <w:jc w:val="right"/>
    </w:pPr>
    <w:rPr/>
  </w:style>
  <w:style w:styleId="style75" w:type="paragraph">
    <w:name w:val="OrgTableHeadingCenter"/>
    <w:basedOn w:val="style72"/>
    <w:next w:val="style75"/>
    <w:pPr>
      <w:jc w:val="center"/>
    </w:pPr>
    <w:rPr/>
  </w:style>
  <w:style w:styleId="style76" w:type="paragraph">
    <w:name w:val="OrgTableContentsLeft"/>
    <w:basedOn w:val="style71"/>
    <w:next w:val="style76"/>
    <w:pPr>
      <w:spacing w:after="0" w:before="0"/>
      <w:contextualSpacing w:val="false"/>
      <w:jc w:val="left"/>
    </w:pPr>
    <w:rPr/>
  </w:style>
  <w:style w:styleId="style77" w:type="paragraph">
    <w:name w:val="OrgTableContentsRight"/>
    <w:basedOn w:val="style71"/>
    <w:next w:val="style77"/>
    <w:pPr>
      <w:jc w:val="right"/>
    </w:pPr>
    <w:rPr/>
  </w:style>
  <w:style w:styleId="style78" w:type="paragraph">
    <w:name w:val="OrgTableContentsCenter"/>
    <w:basedOn w:val="style71"/>
    <w:next w:val="style78"/>
    <w:pPr>
      <w:jc w:val="center"/>
    </w:pPr>
    <w:rPr/>
  </w:style>
  <w:style w:styleId="style79" w:type="paragraph">
    <w:name w:val="Text body bold"/>
    <w:basedOn w:val="style38"/>
    <w:next w:val="style79"/>
    <w:pPr/>
    <w:rPr>
      <w:b/>
    </w:rPr>
  </w:style>
  <w:style w:styleId="style80" w:type="paragraph">
    <w:name w:val="Footnote"/>
    <w:basedOn w:val="style0"/>
    <w:next w:val="style80"/>
    <w:pPr>
      <w:suppressLineNumbers/>
      <w:ind w:hanging="283" w:left="283" w:right="0"/>
    </w:pPr>
    <w:rPr>
      <w:sz w:val="20"/>
      <w:szCs w:val="20"/>
    </w:rPr>
  </w:style>
  <w:style w:styleId="style81" w:type="paragraph">
    <w:name w:val="Figure"/>
    <w:basedOn w:val="style40"/>
    <w:next w:val="style81"/>
    <w:pPr/>
    <w:rPr/>
  </w:style>
  <w:style w:styleId="style82" w:type="paragraph">
    <w:name w:val="Illustration Index Heading"/>
    <w:basedOn w:val="style37"/>
    <w:next w:val="style82"/>
    <w:pPr>
      <w:suppressLineNumbers/>
      <w:ind w:hanging="0" w:left="0" w:right="0"/>
    </w:pPr>
    <w:rPr>
      <w:b/>
      <w:bCs/>
      <w:sz w:val="32"/>
      <w:szCs w:val="32"/>
    </w:rPr>
  </w:style>
  <w:style w:styleId="style83" w:type="paragraph">
    <w:name w:val="Table"/>
    <w:basedOn w:val="style40"/>
    <w:next w:val="style83"/>
    <w:pPr>
      <w:jc w:val="center"/>
    </w:pPr>
    <w:rPr/>
  </w:style>
  <w:style w:styleId="style84" w:type="paragraph">
    <w:name w:val="Horizontal Line"/>
    <w:basedOn w:val="style0"/>
    <w:next w:val="style38"/>
    <w:pPr>
      <w:suppressLineNumbers/>
      <w:pBdr>
        <w:bottom w:color="808080" w:space="0" w:sz="2" w:val="double"/>
      </w:pBdr>
      <w:spacing w:after="283" w:before="0"/>
      <w:contextualSpacing w:val="false"/>
    </w:pPr>
    <w:rPr>
      <w:sz w:val="12"/>
      <w:szCs w:val="12"/>
    </w:rPr>
  </w:style>
  <w:style w:styleId="style85" w:type="paragraph">
    <w:name w:val="OrgInlineTaskHeading"/>
    <w:basedOn w:val="style40"/>
    <w:next w:val="style85"/>
    <w:pPr/>
    <w:rPr>
      <w:b/>
      <w:i w:val="false"/>
    </w:rPr>
  </w:style>
  <w:style w:styleId="style86" w:type="paragraph">
    <w:name w:val="Footer"/>
    <w:basedOn w:val="style0"/>
    <w:next w:val="style86"/>
    <w:pPr>
      <w:suppressLineNumbers/>
      <w:tabs>
        <w:tab w:leader="none" w:pos="5553" w:val="center"/>
        <w:tab w:leader="none" w:pos="11106" w:val="right"/>
      </w:tabs>
    </w:pPr>
    <w:rPr/>
  </w:style>
  <w:style w:styleId="style87" w:type="paragraph">
    <w:name w:val="Table Contents"/>
    <w:basedOn w:val="style0"/>
    <w:next w:val="style87"/>
    <w:pPr>
      <w:suppressLineNumbers/>
    </w:pPr>
    <w:rPr/>
  </w:style>
  <w:style w:styleId="style88" w:type="paragraph">
    <w:name w:val="Header"/>
    <w:basedOn w:val="style0"/>
    <w:next w:val="style88"/>
    <w:pPr>
      <w:suppressLineNumbers/>
      <w:tabs>
        <w:tab w:leader="none" w:pos="4819" w:val="center"/>
        <w:tab w:leader="none" w:pos="9638" w:val="right"/>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281</TotalTime>
  <Application>LibreOffice/3.6$Linux_x86 LibreOffice_project/360m1$Build-2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2013-01-12T11:56:29.00Z</dcterms:created>
  <dc:creator>Dale Hathaway</dc:creator>
  <cp:lastModifiedBy>Dale Hathaway</cp:lastModifiedBy>
  <dcterms:modified xsi:type="dcterms:W3CDTF">2013-01-12T12:04:36.00Z</dcterms:modified>
  <cp:revision>5</cp:revision>
  <dc:title>Syllabus 2013</dc:title>
</cp:coreProperties>
</file>