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616" w:rsidRDefault="00264616" w:rsidP="00264616">
      <w:pPr>
        <w:rPr>
          <w:rFonts w:ascii="Garamond" w:hAnsi="Garamond"/>
          <w:sz w:val="22"/>
        </w:rPr>
      </w:pPr>
      <w:proofErr w:type="spellStart"/>
      <w:r>
        <w:rPr>
          <w:rFonts w:ascii="Garamond" w:hAnsi="Garamond"/>
          <w:sz w:val="22"/>
        </w:rPr>
        <w:t>Chaminade</w:t>
      </w:r>
      <w:proofErr w:type="spellEnd"/>
      <w:r>
        <w:rPr>
          <w:rFonts w:ascii="Garamond" w:hAnsi="Garamond"/>
          <w:sz w:val="22"/>
        </w:rPr>
        <w:t xml:space="preserve"> </w:t>
      </w:r>
      <w:smartTag w:uri="urn:schemas-microsoft-com:office:smarttags" w:element="PlaceType">
        <w:r>
          <w:rPr>
            <w:rFonts w:ascii="Garamond" w:hAnsi="Garamond"/>
            <w:sz w:val="22"/>
          </w:rPr>
          <w:t>Univ.</w:t>
        </w:r>
      </w:smartTag>
      <w:r w:rsidR="003833B1">
        <w:rPr>
          <w:rFonts w:ascii="Garamond" w:hAnsi="Garamond"/>
          <w:sz w:val="22"/>
        </w:rPr>
        <w:t xml:space="preserve"> of Honolulu</w:t>
      </w:r>
      <w:r w:rsidR="003833B1">
        <w:rPr>
          <w:rFonts w:ascii="Garamond" w:hAnsi="Garamond"/>
          <w:sz w:val="22"/>
        </w:rPr>
        <w:tab/>
      </w:r>
      <w:r w:rsidR="003833B1">
        <w:rPr>
          <w:rFonts w:ascii="Garamond" w:hAnsi="Garamond"/>
          <w:sz w:val="22"/>
        </w:rPr>
        <w:tab/>
      </w:r>
      <w:r w:rsidR="003833B1">
        <w:rPr>
          <w:rFonts w:ascii="Garamond" w:hAnsi="Garamond"/>
          <w:sz w:val="22"/>
        </w:rPr>
        <w:tab/>
      </w:r>
      <w:r w:rsidR="003833B1">
        <w:rPr>
          <w:rFonts w:ascii="Garamond" w:hAnsi="Garamond"/>
          <w:sz w:val="22"/>
        </w:rPr>
        <w:tab/>
      </w:r>
      <w:r w:rsidR="003833B1">
        <w:rPr>
          <w:rFonts w:ascii="Garamond" w:hAnsi="Garamond"/>
          <w:sz w:val="22"/>
        </w:rPr>
        <w:tab/>
      </w:r>
      <w:r w:rsidR="003833B1">
        <w:rPr>
          <w:rFonts w:ascii="Garamond" w:hAnsi="Garamond"/>
          <w:sz w:val="22"/>
        </w:rPr>
        <w:tab/>
      </w:r>
      <w:r w:rsidR="003833B1">
        <w:rPr>
          <w:rFonts w:ascii="Garamond" w:hAnsi="Garamond"/>
          <w:sz w:val="22"/>
        </w:rPr>
        <w:tab/>
      </w:r>
      <w:r w:rsidR="003833B1">
        <w:rPr>
          <w:rFonts w:ascii="Garamond" w:hAnsi="Garamond"/>
          <w:sz w:val="22"/>
        </w:rPr>
        <w:tab/>
        <w:t>1/13</w:t>
      </w:r>
    </w:p>
    <w:p w:rsidR="00264616" w:rsidRDefault="00264616" w:rsidP="00264616">
      <w:pPr>
        <w:rPr>
          <w:rFonts w:ascii="Garamond" w:hAnsi="Garamond"/>
          <w:sz w:val="22"/>
        </w:rPr>
      </w:pPr>
    </w:p>
    <w:p w:rsidR="00264616" w:rsidRDefault="00264616" w:rsidP="00264616">
      <w:pPr>
        <w:jc w:val="center"/>
        <w:rPr>
          <w:rFonts w:ascii="Garamond" w:hAnsi="Garamond"/>
          <w:sz w:val="22"/>
        </w:rPr>
      </w:pPr>
      <w:r>
        <w:rPr>
          <w:rFonts w:ascii="Garamond" w:hAnsi="Garamond"/>
          <w:sz w:val="22"/>
        </w:rPr>
        <w:t>GE/ID 335: Sociocultural Aspects of Design</w:t>
      </w:r>
    </w:p>
    <w:p w:rsidR="00264616" w:rsidRDefault="00264616" w:rsidP="00264616">
      <w:pPr>
        <w:rPr>
          <w:rFonts w:ascii="Garamond" w:hAnsi="Garamond"/>
          <w:sz w:val="22"/>
        </w:rPr>
      </w:pPr>
    </w:p>
    <w:p w:rsidR="00264616" w:rsidRDefault="00264616" w:rsidP="00264616">
      <w:pPr>
        <w:rPr>
          <w:rFonts w:ascii="Garamond" w:hAnsi="Garamond"/>
          <w:sz w:val="22"/>
        </w:rPr>
      </w:pPr>
    </w:p>
    <w:p w:rsidR="00264616" w:rsidRDefault="00264616" w:rsidP="00264616">
      <w:pPr>
        <w:rPr>
          <w:rFonts w:ascii="Garamond" w:hAnsi="Garamond"/>
          <w:sz w:val="22"/>
        </w:rPr>
      </w:pPr>
      <w:r>
        <w:rPr>
          <w:rFonts w:ascii="Garamond" w:hAnsi="Garamond"/>
          <w:sz w:val="22"/>
        </w:rPr>
        <w:t xml:space="preserve">Inst.: Richard </w:t>
      </w:r>
      <w:proofErr w:type="spellStart"/>
      <w:r>
        <w:rPr>
          <w:rFonts w:ascii="Garamond" w:hAnsi="Garamond"/>
          <w:sz w:val="22"/>
        </w:rPr>
        <w:t>Bordner</w:t>
      </w:r>
      <w:proofErr w:type="spellEnd"/>
    </w:p>
    <w:p w:rsidR="00264616" w:rsidRDefault="00264616" w:rsidP="00264616">
      <w:pPr>
        <w:rPr>
          <w:rFonts w:ascii="Garamond" w:hAnsi="Garamond"/>
          <w:sz w:val="22"/>
        </w:rPr>
      </w:pPr>
      <w:r>
        <w:rPr>
          <w:rFonts w:ascii="Garamond" w:hAnsi="Garamond"/>
          <w:sz w:val="22"/>
        </w:rPr>
        <w:t>Off. Hrs: MWF 11</w:t>
      </w:r>
      <w:r w:rsidR="0030023E">
        <w:rPr>
          <w:rFonts w:ascii="Garamond" w:hAnsi="Garamond"/>
          <w:sz w:val="22"/>
        </w:rPr>
        <w:t>:30</w:t>
      </w:r>
      <w:r>
        <w:rPr>
          <w:rFonts w:ascii="Garamond" w:hAnsi="Garamond"/>
          <w:sz w:val="22"/>
        </w:rPr>
        <w:t>-2, TR 11</w:t>
      </w:r>
      <w:r w:rsidR="0030023E">
        <w:rPr>
          <w:rFonts w:ascii="Garamond" w:hAnsi="Garamond"/>
          <w:sz w:val="22"/>
        </w:rPr>
        <w:t>:30-</w:t>
      </w:r>
      <w:r>
        <w:rPr>
          <w:rFonts w:ascii="Garamond" w:hAnsi="Garamond"/>
          <w:sz w:val="22"/>
        </w:rPr>
        <w:t>12</w:t>
      </w:r>
      <w:r w:rsidR="0030023E">
        <w:rPr>
          <w:rFonts w:ascii="Garamond" w:hAnsi="Garamond"/>
          <w:sz w:val="22"/>
        </w:rPr>
        <w:t>:30</w:t>
      </w:r>
      <w:r>
        <w:rPr>
          <w:rFonts w:ascii="Garamond" w:hAnsi="Garamond"/>
          <w:sz w:val="22"/>
        </w:rPr>
        <w:t xml:space="preserve"> or by appointment (</w:t>
      </w:r>
      <w:proofErr w:type="spellStart"/>
      <w:r>
        <w:rPr>
          <w:rFonts w:ascii="Garamond" w:hAnsi="Garamond"/>
          <w:sz w:val="22"/>
        </w:rPr>
        <w:t>BehSci</w:t>
      </w:r>
      <w:proofErr w:type="spellEnd"/>
      <w:r>
        <w:rPr>
          <w:rFonts w:ascii="Garamond" w:hAnsi="Garamond"/>
          <w:sz w:val="22"/>
        </w:rPr>
        <w:t xml:space="preserve"> </w:t>
      </w:r>
      <w:proofErr w:type="spellStart"/>
      <w:r>
        <w:rPr>
          <w:rFonts w:ascii="Garamond" w:hAnsi="Garamond"/>
          <w:sz w:val="22"/>
        </w:rPr>
        <w:t>Bldg</w:t>
      </w:r>
      <w:proofErr w:type="spellEnd"/>
      <w:r>
        <w:rPr>
          <w:rFonts w:ascii="Garamond" w:hAnsi="Garamond"/>
          <w:sz w:val="22"/>
        </w:rPr>
        <w:t xml:space="preserve"> rm. 114)</w:t>
      </w:r>
    </w:p>
    <w:p w:rsidR="00264616" w:rsidRDefault="00264616" w:rsidP="00264616">
      <w:r>
        <w:rPr>
          <w:rFonts w:ascii="Garamond" w:hAnsi="Garamond"/>
          <w:sz w:val="22"/>
        </w:rPr>
        <w:t xml:space="preserve">Phone: 739-4644(wk).  E-mail= </w:t>
      </w:r>
      <w:hyperlink r:id="rId6" w:history="1">
        <w:r>
          <w:rPr>
            <w:rStyle w:val="Hyperlink"/>
            <w:rFonts w:ascii="Garamond" w:hAnsi="Garamond"/>
            <w:b/>
            <w:bCs/>
            <w:sz w:val="22"/>
          </w:rPr>
          <w:t>rbordner@chaminade.edu</w:t>
        </w:r>
      </w:hyperlink>
      <w:r>
        <w:rPr>
          <w:rFonts w:ascii="Garamond" w:hAnsi="Garamond"/>
          <w:b/>
          <w:bCs/>
          <w:sz w:val="22"/>
        </w:rPr>
        <w:t>;</w:t>
      </w:r>
      <w:r>
        <w:rPr>
          <w:rFonts w:ascii="Garamond" w:hAnsi="Garamond"/>
          <w:bCs/>
          <w:sz w:val="22"/>
        </w:rPr>
        <w:t xml:space="preserve"> </w:t>
      </w:r>
      <w:hyperlink r:id="rId7" w:history="1">
        <w:r w:rsidR="003833B1" w:rsidRPr="003967A7">
          <w:rPr>
            <w:rStyle w:val="Hyperlink"/>
            <w:rFonts w:ascii="Garamond" w:hAnsi="Garamond"/>
            <w:bCs/>
            <w:sz w:val="22"/>
          </w:rPr>
          <w:t>bordnerr001@hawaii.rr.com</w:t>
        </w:r>
      </w:hyperlink>
    </w:p>
    <w:p w:rsidR="0030023E" w:rsidRDefault="0030023E" w:rsidP="00264616">
      <w:r>
        <w:t xml:space="preserve">Website: </w:t>
      </w:r>
      <w:hyperlink r:id="rId8" w:history="1">
        <w:r w:rsidRPr="00F26B3B">
          <w:rPr>
            <w:rStyle w:val="Hyperlink"/>
          </w:rPr>
          <w:t>www.socialresearchsystems.com</w:t>
        </w:r>
      </w:hyperlink>
    </w:p>
    <w:p w:rsidR="00264616" w:rsidRPr="00A16C59" w:rsidRDefault="00264616" w:rsidP="00264616">
      <w:pPr>
        <w:rPr>
          <w:rFonts w:ascii="Garamond" w:hAnsi="Garamond"/>
          <w:sz w:val="22"/>
        </w:rPr>
      </w:pPr>
    </w:p>
    <w:p w:rsidR="00264616" w:rsidRDefault="00264616" w:rsidP="00264616">
      <w:pPr>
        <w:ind w:left="720" w:hanging="720"/>
        <w:rPr>
          <w:rFonts w:ascii="Garamond" w:hAnsi="Garamond"/>
          <w:sz w:val="22"/>
        </w:rPr>
      </w:pPr>
      <w:r>
        <w:rPr>
          <w:rFonts w:ascii="Garamond" w:hAnsi="Garamond"/>
          <w:b/>
          <w:sz w:val="22"/>
        </w:rPr>
        <w:t xml:space="preserve">Required </w:t>
      </w:r>
      <w:r w:rsidRPr="00A16C59">
        <w:rPr>
          <w:rFonts w:ascii="Garamond" w:hAnsi="Garamond"/>
          <w:b/>
          <w:sz w:val="22"/>
        </w:rPr>
        <w:t>Texts</w:t>
      </w:r>
      <w:r>
        <w:rPr>
          <w:rFonts w:ascii="Garamond" w:hAnsi="Garamond"/>
          <w:sz w:val="22"/>
        </w:rPr>
        <w:t xml:space="preserve">: Hall, </w:t>
      </w:r>
      <w:proofErr w:type="gramStart"/>
      <w:r>
        <w:rPr>
          <w:rFonts w:ascii="Garamond" w:hAnsi="Garamond"/>
          <w:sz w:val="22"/>
        </w:rPr>
        <w:t>Edward  1966</w:t>
      </w:r>
      <w:proofErr w:type="gramEnd"/>
      <w:r>
        <w:rPr>
          <w:rFonts w:ascii="Garamond" w:hAnsi="Garamond"/>
          <w:sz w:val="22"/>
        </w:rPr>
        <w:t xml:space="preserve">.  </w:t>
      </w:r>
      <w:proofErr w:type="gramStart"/>
      <w:r>
        <w:rPr>
          <w:rFonts w:ascii="Garamond" w:hAnsi="Garamond"/>
          <w:sz w:val="22"/>
          <w:u w:val="single"/>
        </w:rPr>
        <w:t>The Hidden Dimension</w:t>
      </w:r>
      <w:r>
        <w:rPr>
          <w:rFonts w:ascii="Garamond" w:hAnsi="Garamond"/>
          <w:sz w:val="22"/>
        </w:rPr>
        <w:t>.</w:t>
      </w:r>
      <w:proofErr w:type="gramEnd"/>
      <w:r>
        <w:rPr>
          <w:rFonts w:ascii="Garamond" w:hAnsi="Garamond"/>
          <w:sz w:val="22"/>
        </w:rPr>
        <w:t xml:space="preserve">  NY: Anchor/Doubleday.</w:t>
      </w:r>
    </w:p>
    <w:p w:rsidR="00264616" w:rsidRDefault="00264616" w:rsidP="00264616">
      <w:pPr>
        <w:rPr>
          <w:rFonts w:ascii="Garamond" w:hAnsi="Garamond"/>
          <w:sz w:val="22"/>
        </w:rPr>
      </w:pPr>
      <w:proofErr w:type="spellStart"/>
      <w:r>
        <w:rPr>
          <w:rFonts w:ascii="Garamond" w:hAnsi="Garamond"/>
          <w:sz w:val="22"/>
        </w:rPr>
        <w:t>Venturi</w:t>
      </w:r>
      <w:proofErr w:type="spellEnd"/>
      <w:r>
        <w:rPr>
          <w:rFonts w:ascii="Garamond" w:hAnsi="Garamond"/>
          <w:sz w:val="22"/>
        </w:rPr>
        <w:t xml:space="preserve">, Robert et al.  1997.  </w:t>
      </w:r>
      <w:r>
        <w:rPr>
          <w:rFonts w:ascii="Garamond" w:hAnsi="Garamond"/>
          <w:sz w:val="22"/>
          <w:u w:val="single"/>
        </w:rPr>
        <w:t xml:space="preserve">Learning from Las </w:t>
      </w:r>
      <w:r w:rsidRPr="00B710EF">
        <w:rPr>
          <w:rFonts w:ascii="Garamond" w:hAnsi="Garamond"/>
          <w:sz w:val="22"/>
        </w:rPr>
        <w:t>Vegas</w:t>
      </w:r>
      <w:r>
        <w:rPr>
          <w:rFonts w:ascii="Garamond" w:hAnsi="Garamond"/>
          <w:sz w:val="22"/>
        </w:rPr>
        <w:t xml:space="preserve">.  </w:t>
      </w:r>
      <w:r w:rsidRPr="00B710EF">
        <w:rPr>
          <w:rFonts w:ascii="Garamond" w:hAnsi="Garamond"/>
          <w:sz w:val="22"/>
        </w:rPr>
        <w:t>Cambridge</w:t>
      </w:r>
      <w:r>
        <w:rPr>
          <w:rFonts w:ascii="Garamond" w:hAnsi="Garamond"/>
          <w:sz w:val="22"/>
        </w:rPr>
        <w:t>: MIT Press.</w:t>
      </w:r>
    </w:p>
    <w:p w:rsidR="00264616" w:rsidRPr="00E7634A" w:rsidRDefault="00264616" w:rsidP="00264616">
      <w:pPr>
        <w:rPr>
          <w:rFonts w:ascii="Garamond" w:hAnsi="Garamond"/>
          <w:sz w:val="22"/>
        </w:rPr>
      </w:pPr>
      <w:r>
        <w:rPr>
          <w:rFonts w:ascii="Garamond" w:hAnsi="Garamond"/>
          <w:sz w:val="22"/>
        </w:rPr>
        <w:t xml:space="preserve">Yap, Joey.  </w:t>
      </w:r>
      <w:proofErr w:type="spellStart"/>
      <w:r>
        <w:rPr>
          <w:rFonts w:ascii="Garamond" w:hAnsi="Garamond"/>
          <w:sz w:val="22"/>
          <w:u w:val="single"/>
        </w:rPr>
        <w:t>Feng</w:t>
      </w:r>
      <w:proofErr w:type="spellEnd"/>
      <w:r>
        <w:rPr>
          <w:rFonts w:ascii="Garamond" w:hAnsi="Garamond"/>
          <w:sz w:val="22"/>
          <w:u w:val="single"/>
        </w:rPr>
        <w:t xml:space="preserve"> </w:t>
      </w:r>
      <w:proofErr w:type="spellStart"/>
      <w:r>
        <w:rPr>
          <w:rFonts w:ascii="Garamond" w:hAnsi="Garamond"/>
          <w:sz w:val="22"/>
          <w:u w:val="single"/>
        </w:rPr>
        <w:t>Shui</w:t>
      </w:r>
      <w:proofErr w:type="spellEnd"/>
      <w:r>
        <w:rPr>
          <w:rFonts w:ascii="Garamond" w:hAnsi="Garamond"/>
          <w:sz w:val="22"/>
          <w:u w:val="single"/>
        </w:rPr>
        <w:t xml:space="preserve"> for Homeowners: Interiors</w:t>
      </w:r>
      <w:r>
        <w:rPr>
          <w:rFonts w:ascii="Garamond" w:hAnsi="Garamond"/>
          <w:sz w:val="22"/>
        </w:rPr>
        <w:t>.  Kuala Lumpur: JY Books.</w:t>
      </w:r>
    </w:p>
    <w:p w:rsidR="00264616" w:rsidRPr="008E7B89" w:rsidRDefault="00264616" w:rsidP="00264616">
      <w:pPr>
        <w:ind w:left="360" w:hanging="360"/>
        <w:rPr>
          <w:rFonts w:ascii="Garamond" w:hAnsi="Garamond"/>
          <w:sz w:val="22"/>
        </w:rPr>
      </w:pPr>
      <w:proofErr w:type="spellStart"/>
      <w:r>
        <w:rPr>
          <w:rFonts w:ascii="Garamond" w:hAnsi="Garamond"/>
          <w:sz w:val="22"/>
        </w:rPr>
        <w:t>Bordner</w:t>
      </w:r>
      <w:proofErr w:type="spellEnd"/>
      <w:r>
        <w:rPr>
          <w:rFonts w:ascii="Garamond" w:hAnsi="Garamond"/>
          <w:sz w:val="22"/>
        </w:rPr>
        <w:t xml:space="preserve">, </w:t>
      </w:r>
      <w:proofErr w:type="gramStart"/>
      <w:r>
        <w:rPr>
          <w:rFonts w:ascii="Garamond" w:hAnsi="Garamond"/>
          <w:sz w:val="22"/>
        </w:rPr>
        <w:t>Richard  2006</w:t>
      </w:r>
      <w:proofErr w:type="gramEnd"/>
      <w:r>
        <w:rPr>
          <w:rFonts w:ascii="Garamond" w:hAnsi="Garamond"/>
          <w:sz w:val="22"/>
        </w:rPr>
        <w:t xml:space="preserve">.  </w:t>
      </w:r>
      <w:proofErr w:type="gramStart"/>
      <w:r>
        <w:rPr>
          <w:rFonts w:ascii="Garamond" w:hAnsi="Garamond"/>
          <w:sz w:val="22"/>
          <w:u w:val="single"/>
        </w:rPr>
        <w:t>Thrum’s Almanac and Annual 1875-1933</w:t>
      </w:r>
      <w:r>
        <w:rPr>
          <w:rFonts w:ascii="Garamond" w:hAnsi="Garamond"/>
          <w:sz w:val="22"/>
        </w:rPr>
        <w:t>.</w:t>
      </w:r>
      <w:proofErr w:type="gramEnd"/>
      <w:r>
        <w:rPr>
          <w:rFonts w:ascii="Garamond" w:hAnsi="Garamond"/>
          <w:sz w:val="22"/>
        </w:rPr>
        <w:t xml:space="preserve">  Honolulu: SRSC Press.  Available as e-book (</w:t>
      </w:r>
      <w:r w:rsidR="00077ED9">
        <w:rPr>
          <w:rFonts w:ascii="Garamond" w:hAnsi="Garamond"/>
          <w:sz w:val="22"/>
        </w:rPr>
        <w:t>you need volumes 1-2, 5-6)</w:t>
      </w:r>
      <w:r>
        <w:rPr>
          <w:rFonts w:ascii="Garamond" w:hAnsi="Garamond"/>
          <w:sz w:val="22"/>
        </w:rPr>
        <w:t xml:space="preserve"> from Amazon.com in Kindle format.</w:t>
      </w:r>
    </w:p>
    <w:p w:rsidR="00264616" w:rsidRDefault="00264616" w:rsidP="00264616">
      <w:pPr>
        <w:ind w:left="360" w:hanging="360"/>
        <w:rPr>
          <w:rFonts w:ascii="Garamond" w:hAnsi="Garamond"/>
          <w:sz w:val="22"/>
        </w:rPr>
      </w:pPr>
      <w:r>
        <w:rPr>
          <w:rFonts w:ascii="Garamond" w:hAnsi="Garamond"/>
          <w:sz w:val="22"/>
        </w:rPr>
        <w:tab/>
      </w:r>
      <w:r>
        <w:rPr>
          <w:rFonts w:ascii="Garamond" w:hAnsi="Garamond"/>
          <w:sz w:val="22"/>
        </w:rPr>
        <w:tab/>
      </w:r>
    </w:p>
    <w:p w:rsidR="00264616" w:rsidRDefault="00264616" w:rsidP="00264616">
      <w:pPr>
        <w:rPr>
          <w:rFonts w:ascii="Garamond" w:hAnsi="Garamond"/>
          <w:sz w:val="22"/>
        </w:rPr>
      </w:pPr>
      <w:r w:rsidRPr="00A16C59">
        <w:rPr>
          <w:rFonts w:ascii="Garamond" w:hAnsi="Garamond"/>
          <w:b/>
          <w:sz w:val="22"/>
          <w:u w:val="single"/>
        </w:rPr>
        <w:t>Course Description</w:t>
      </w:r>
      <w:r>
        <w:rPr>
          <w:rFonts w:ascii="Garamond" w:hAnsi="Garamond"/>
          <w:sz w:val="22"/>
        </w:rPr>
        <w:t>: The purpose of this course is to provide students with a background in cross-cultural aspects of both exterior and interior design.  The main emphasis will be on the use of space and symbolism as forms of communication within a cultural and ritual context, often without the conscious understanding of the inhabitants.  Areas of discussion will be: symbolic and cultural templates on residential layout; concepts of the home in different societies; geomantic/</w:t>
      </w:r>
      <w:proofErr w:type="spellStart"/>
      <w:r>
        <w:rPr>
          <w:rFonts w:ascii="Garamond" w:hAnsi="Garamond"/>
          <w:sz w:val="22"/>
        </w:rPr>
        <w:t>feng</w:t>
      </w:r>
      <w:proofErr w:type="spellEnd"/>
      <w:r>
        <w:rPr>
          <w:rFonts w:ascii="Garamond" w:hAnsi="Garamond"/>
          <w:sz w:val="22"/>
        </w:rPr>
        <w:t xml:space="preserve"> </w:t>
      </w:r>
      <w:proofErr w:type="spellStart"/>
      <w:r>
        <w:rPr>
          <w:rFonts w:ascii="Garamond" w:hAnsi="Garamond"/>
          <w:sz w:val="22"/>
        </w:rPr>
        <w:t>shui</w:t>
      </w:r>
      <w:proofErr w:type="spellEnd"/>
      <w:r>
        <w:rPr>
          <w:rFonts w:ascii="Garamond" w:hAnsi="Garamond"/>
          <w:sz w:val="22"/>
        </w:rPr>
        <w:t xml:space="preserve"> logic in exterior and interior layout in different cultures (specifically </w:t>
      </w:r>
      <w:smartTag w:uri="urn:schemas-microsoft-com:office:smarttags" w:element="State">
        <w:r>
          <w:rPr>
            <w:rFonts w:ascii="Garamond" w:hAnsi="Garamond"/>
            <w:sz w:val="22"/>
          </w:rPr>
          <w:t>Hawai`i</w:t>
        </w:r>
      </w:smartTag>
      <w:r>
        <w:rPr>
          <w:rFonts w:ascii="Garamond" w:hAnsi="Garamond"/>
          <w:sz w:val="22"/>
        </w:rPr>
        <w:t xml:space="preserve">, </w:t>
      </w:r>
      <w:smartTag w:uri="urn:schemas-microsoft-com:office:smarttags" w:element="country-region">
        <w:r>
          <w:rPr>
            <w:rFonts w:ascii="Garamond" w:hAnsi="Garamond"/>
            <w:sz w:val="22"/>
          </w:rPr>
          <w:t>Japan</w:t>
        </w:r>
      </w:smartTag>
      <w:r>
        <w:rPr>
          <w:rFonts w:ascii="Garamond" w:hAnsi="Garamond"/>
          <w:sz w:val="22"/>
        </w:rPr>
        <w:t xml:space="preserve"> and </w:t>
      </w:r>
      <w:smartTag w:uri="urn:schemas-microsoft-com:office:smarttags" w:element="place">
        <w:smartTag w:uri="urn:schemas-microsoft-com:office:smarttags" w:element="country-region">
          <w:r>
            <w:rPr>
              <w:rFonts w:ascii="Garamond" w:hAnsi="Garamond"/>
              <w:sz w:val="22"/>
            </w:rPr>
            <w:t>China</w:t>
          </w:r>
        </w:smartTag>
      </w:smartTag>
      <w:r>
        <w:rPr>
          <w:rFonts w:ascii="Garamond" w:hAnsi="Garamond"/>
          <w:sz w:val="22"/>
        </w:rPr>
        <w:t xml:space="preserve">); and cultural aspects to interior design both in layout and furnishings.  The major areas of regional emphasis from which examples will be taken from are the </w:t>
      </w:r>
      <w:smartTag w:uri="urn:schemas-microsoft-com:office:smarttags" w:element="country-region">
        <w:r>
          <w:rPr>
            <w:rFonts w:ascii="Garamond" w:hAnsi="Garamond"/>
            <w:sz w:val="22"/>
          </w:rPr>
          <w:t>Americas</w:t>
        </w:r>
      </w:smartTag>
      <w:r>
        <w:rPr>
          <w:rFonts w:ascii="Garamond" w:hAnsi="Garamond"/>
          <w:sz w:val="22"/>
        </w:rPr>
        <w:t xml:space="preserve"> (both pre-contact and </w:t>
      </w:r>
      <w:proofErr w:type="spellStart"/>
      <w:r>
        <w:rPr>
          <w:rFonts w:ascii="Garamond" w:hAnsi="Garamond"/>
          <w:sz w:val="22"/>
        </w:rPr>
        <w:t>Euroamerican</w:t>
      </w:r>
      <w:proofErr w:type="spellEnd"/>
      <w:r>
        <w:rPr>
          <w:rFonts w:ascii="Garamond" w:hAnsi="Garamond"/>
          <w:sz w:val="22"/>
        </w:rPr>
        <w:t xml:space="preserve">), </w:t>
      </w:r>
      <w:smartTag w:uri="urn:schemas-microsoft-com:office:smarttags" w:element="place">
        <w:r>
          <w:rPr>
            <w:rFonts w:ascii="Garamond" w:hAnsi="Garamond"/>
            <w:sz w:val="22"/>
          </w:rPr>
          <w:t>East Asia</w:t>
        </w:r>
      </w:smartTag>
      <w:r>
        <w:rPr>
          <w:rFonts w:ascii="Garamond" w:hAnsi="Garamond"/>
          <w:sz w:val="22"/>
        </w:rPr>
        <w:t xml:space="preserve"> and the Pacific.</w:t>
      </w:r>
    </w:p>
    <w:p w:rsidR="00264616" w:rsidRDefault="00264616" w:rsidP="00264616">
      <w:pPr>
        <w:rPr>
          <w:rFonts w:ascii="Garamond" w:hAnsi="Garamond"/>
          <w:sz w:val="22"/>
        </w:rPr>
      </w:pPr>
    </w:p>
    <w:p w:rsidR="00264616" w:rsidRDefault="00264616" w:rsidP="00264616">
      <w:pPr>
        <w:rPr>
          <w:rFonts w:ascii="Garamond" w:hAnsi="Garamond"/>
          <w:sz w:val="22"/>
        </w:rPr>
      </w:pPr>
      <w:r>
        <w:rPr>
          <w:rFonts w:ascii="Garamond" w:hAnsi="Garamond"/>
          <w:sz w:val="22"/>
        </w:rPr>
        <w:t>This course fulfills the requirements of a cross-listed course as ID 335.</w:t>
      </w:r>
    </w:p>
    <w:p w:rsidR="00264616" w:rsidRDefault="00264616" w:rsidP="00264616">
      <w:pPr>
        <w:rPr>
          <w:rFonts w:ascii="Garamond" w:hAnsi="Garamond"/>
          <w:sz w:val="22"/>
        </w:rPr>
      </w:pPr>
    </w:p>
    <w:p w:rsidR="00633AA6" w:rsidRDefault="00633AA6" w:rsidP="00264616">
      <w:pPr>
        <w:pStyle w:val="PlainText"/>
        <w:widowControl/>
        <w:rPr>
          <w:rFonts w:ascii="Garamond" w:hAnsi="Garamond"/>
          <w:sz w:val="22"/>
        </w:rPr>
      </w:pPr>
    </w:p>
    <w:p w:rsidR="00264616" w:rsidRPr="00633AA6" w:rsidRDefault="00264616" w:rsidP="00264616">
      <w:pPr>
        <w:pStyle w:val="PlainText"/>
        <w:widowControl/>
        <w:rPr>
          <w:rFonts w:ascii="Garamond" w:hAnsi="Garamond"/>
          <w:b/>
          <w:sz w:val="22"/>
        </w:rPr>
      </w:pPr>
      <w:r w:rsidRPr="00633AA6">
        <w:rPr>
          <w:rFonts w:ascii="Garamond" w:hAnsi="Garamond"/>
          <w:b/>
          <w:sz w:val="22"/>
        </w:rPr>
        <w:t xml:space="preserve">The </w:t>
      </w:r>
      <w:proofErr w:type="spellStart"/>
      <w:r w:rsidRPr="00633AA6">
        <w:rPr>
          <w:rFonts w:ascii="Garamond" w:hAnsi="Garamond"/>
          <w:b/>
          <w:sz w:val="22"/>
        </w:rPr>
        <w:t>Marianist</w:t>
      </w:r>
      <w:proofErr w:type="spellEnd"/>
      <w:r w:rsidRPr="00633AA6">
        <w:rPr>
          <w:rFonts w:ascii="Garamond" w:hAnsi="Garamond"/>
          <w:b/>
          <w:sz w:val="22"/>
        </w:rPr>
        <w:t xml:space="preserve"> Values of </w:t>
      </w:r>
      <w:proofErr w:type="spellStart"/>
      <w:r w:rsidRPr="00633AA6">
        <w:rPr>
          <w:rFonts w:ascii="Garamond" w:hAnsi="Garamond"/>
          <w:b/>
          <w:sz w:val="22"/>
        </w:rPr>
        <w:t>Chaminade</w:t>
      </w:r>
      <w:proofErr w:type="spellEnd"/>
      <w:r w:rsidRPr="00633AA6">
        <w:rPr>
          <w:rFonts w:ascii="Garamond" w:hAnsi="Garamond"/>
          <w:b/>
          <w:sz w:val="22"/>
        </w:rPr>
        <w:t xml:space="preserve"> University, which we strive to incorporate into these classes:</w:t>
      </w:r>
    </w:p>
    <w:p w:rsidR="00264616" w:rsidRDefault="00264616" w:rsidP="00264616">
      <w:pPr>
        <w:pStyle w:val="PlainText"/>
        <w:widowControl/>
        <w:rPr>
          <w:rFonts w:ascii="Garamond" w:hAnsi="Garamond"/>
          <w:sz w:val="22"/>
        </w:rPr>
      </w:pPr>
      <w:r>
        <w:rPr>
          <w:rFonts w:ascii="Garamond" w:hAnsi="Garamond"/>
          <w:sz w:val="22"/>
        </w:rPr>
        <w:t>1) Educate in formation of faith</w:t>
      </w:r>
    </w:p>
    <w:p w:rsidR="00264616" w:rsidRDefault="00264616" w:rsidP="00264616">
      <w:pPr>
        <w:pStyle w:val="PlainText"/>
        <w:widowControl/>
        <w:rPr>
          <w:rFonts w:ascii="Garamond" w:hAnsi="Garamond"/>
          <w:sz w:val="22"/>
        </w:rPr>
      </w:pPr>
      <w:r>
        <w:rPr>
          <w:rFonts w:ascii="Garamond" w:hAnsi="Garamond"/>
          <w:sz w:val="22"/>
        </w:rPr>
        <w:t>2) Provide an integral quality education</w:t>
      </w:r>
    </w:p>
    <w:p w:rsidR="00264616" w:rsidRDefault="00264616" w:rsidP="00264616">
      <w:pPr>
        <w:pStyle w:val="PlainText"/>
        <w:widowControl/>
        <w:rPr>
          <w:rFonts w:ascii="Garamond" w:hAnsi="Garamond"/>
          <w:sz w:val="22"/>
        </w:rPr>
      </w:pPr>
      <w:r>
        <w:rPr>
          <w:rFonts w:ascii="Garamond" w:hAnsi="Garamond"/>
          <w:sz w:val="22"/>
        </w:rPr>
        <w:t>3) Educate in family spirit</w:t>
      </w:r>
    </w:p>
    <w:p w:rsidR="00264616" w:rsidRDefault="00264616" w:rsidP="00264616">
      <w:pPr>
        <w:pStyle w:val="PlainText"/>
        <w:widowControl/>
        <w:rPr>
          <w:rFonts w:ascii="Garamond" w:hAnsi="Garamond"/>
          <w:sz w:val="22"/>
        </w:rPr>
      </w:pPr>
      <w:r>
        <w:rPr>
          <w:rFonts w:ascii="Garamond" w:hAnsi="Garamond"/>
          <w:sz w:val="22"/>
        </w:rPr>
        <w:t>4) Educate for service, justice and peace</w:t>
      </w:r>
    </w:p>
    <w:p w:rsidR="00264616" w:rsidRDefault="00264616" w:rsidP="00264616">
      <w:pPr>
        <w:rPr>
          <w:rFonts w:ascii="Garamond" w:hAnsi="Garamond"/>
          <w:sz w:val="22"/>
        </w:rPr>
      </w:pPr>
      <w:r>
        <w:rPr>
          <w:rFonts w:ascii="Garamond" w:hAnsi="Garamond"/>
          <w:sz w:val="22"/>
        </w:rPr>
        <w:t>5) Educate for adaptation and change</w:t>
      </w:r>
    </w:p>
    <w:p w:rsidR="00264616" w:rsidRDefault="00264616" w:rsidP="00264616">
      <w:pPr>
        <w:pStyle w:val="PlainText"/>
        <w:widowControl/>
        <w:rPr>
          <w:rFonts w:ascii="Garamond" w:hAnsi="Garamond"/>
          <w:b/>
          <w:sz w:val="22"/>
        </w:rPr>
      </w:pPr>
    </w:p>
    <w:p w:rsidR="00633AA6" w:rsidRDefault="00633AA6" w:rsidP="00264616">
      <w:pPr>
        <w:pStyle w:val="PlainText"/>
        <w:widowControl/>
        <w:rPr>
          <w:rFonts w:ascii="Garamond" w:hAnsi="Garamond"/>
          <w:b/>
          <w:sz w:val="22"/>
          <w:szCs w:val="22"/>
        </w:rPr>
      </w:pPr>
    </w:p>
    <w:p w:rsidR="00264616" w:rsidRPr="00E7634A" w:rsidRDefault="009C769E" w:rsidP="00264616">
      <w:pPr>
        <w:pStyle w:val="PlainText"/>
        <w:widowControl/>
        <w:rPr>
          <w:rFonts w:ascii="Garamond" w:hAnsi="Garamond"/>
          <w:b/>
          <w:sz w:val="22"/>
          <w:szCs w:val="22"/>
        </w:rPr>
      </w:pPr>
      <w:r>
        <w:rPr>
          <w:rFonts w:ascii="Garamond" w:hAnsi="Garamond"/>
          <w:b/>
          <w:sz w:val="22"/>
          <w:szCs w:val="22"/>
        </w:rPr>
        <w:t xml:space="preserve">As a course in the </w:t>
      </w:r>
      <w:r w:rsidR="00264616" w:rsidRPr="00E7634A">
        <w:rPr>
          <w:rFonts w:ascii="Garamond" w:hAnsi="Garamond"/>
          <w:b/>
          <w:sz w:val="22"/>
          <w:szCs w:val="22"/>
        </w:rPr>
        <w:t xml:space="preserve">Behavioral Science program </w:t>
      </w:r>
      <w:r>
        <w:rPr>
          <w:rFonts w:ascii="Garamond" w:hAnsi="Garamond"/>
          <w:b/>
          <w:sz w:val="22"/>
          <w:szCs w:val="22"/>
        </w:rPr>
        <w:t>you will demonstrate the following</w:t>
      </w:r>
      <w:r w:rsidR="00264616" w:rsidRPr="00E7634A">
        <w:rPr>
          <w:rFonts w:ascii="Garamond" w:hAnsi="Garamond"/>
          <w:b/>
          <w:sz w:val="22"/>
          <w:szCs w:val="22"/>
        </w:rPr>
        <w:t>:</w:t>
      </w:r>
    </w:p>
    <w:p w:rsidR="00264616" w:rsidRDefault="00264616" w:rsidP="00264616">
      <w:pPr>
        <w:pStyle w:val="BodyTextIndent"/>
        <w:numPr>
          <w:ilvl w:val="0"/>
          <w:numId w:val="2"/>
        </w:numPr>
      </w:pPr>
      <w:r>
        <w:t>a growth in your understanding of the reciprocal relationships between the individual and the group (ethnic or society);</w:t>
      </w:r>
    </w:p>
    <w:p w:rsidR="00264616" w:rsidRDefault="00264616" w:rsidP="00264616">
      <w:pPr>
        <w:pStyle w:val="BodyTextIndent"/>
        <w:numPr>
          <w:ilvl w:val="0"/>
          <w:numId w:val="2"/>
        </w:numPr>
      </w:pPr>
      <w:proofErr w:type="gramStart"/>
      <w:r>
        <w:t>a</w:t>
      </w:r>
      <w:proofErr w:type="gramEnd"/>
      <w:r>
        <w:t xml:space="preserve"> growth in your understanding of anthropological concepts and the appropriate use of the terminology.</w:t>
      </w:r>
    </w:p>
    <w:p w:rsidR="00264616" w:rsidRPr="00E7634A" w:rsidRDefault="00264616" w:rsidP="00264616">
      <w:pPr>
        <w:pStyle w:val="BodyTextIndent"/>
        <w:numPr>
          <w:ilvl w:val="0"/>
          <w:numId w:val="2"/>
        </w:numPr>
      </w:pPr>
      <w:r w:rsidRPr="00E7634A">
        <w:t>To increase your awareness of how pervasive cultural aspects of design, especially spatial and symbolic, are in most societies, including contemporary American society;</w:t>
      </w:r>
    </w:p>
    <w:p w:rsidR="00264616" w:rsidRDefault="00264616" w:rsidP="00264616">
      <w:pPr>
        <w:numPr>
          <w:ilvl w:val="0"/>
          <w:numId w:val="2"/>
        </w:numPr>
        <w:rPr>
          <w:rFonts w:ascii="Garamond" w:hAnsi="Garamond"/>
          <w:sz w:val="22"/>
        </w:rPr>
      </w:pPr>
      <w:r>
        <w:rPr>
          <w:rFonts w:ascii="Garamond" w:hAnsi="Garamond"/>
          <w:sz w:val="22"/>
        </w:rPr>
        <w:t>To sensitize you to the need to accommodate cultural logic in design decisions;</w:t>
      </w:r>
    </w:p>
    <w:p w:rsidR="00264616" w:rsidRDefault="00264616" w:rsidP="00264616">
      <w:pPr>
        <w:numPr>
          <w:ilvl w:val="0"/>
          <w:numId w:val="2"/>
        </w:numPr>
        <w:rPr>
          <w:rFonts w:ascii="Garamond" w:hAnsi="Garamond"/>
          <w:sz w:val="22"/>
        </w:rPr>
      </w:pPr>
      <w:r>
        <w:rPr>
          <w:rFonts w:ascii="Garamond" w:hAnsi="Garamond"/>
          <w:sz w:val="22"/>
        </w:rPr>
        <w:t xml:space="preserve">To develop a more comprehensive understanding of the basic logic underlying some geomantic systems and </w:t>
      </w:r>
      <w:proofErr w:type="spellStart"/>
      <w:r>
        <w:rPr>
          <w:rFonts w:ascii="Garamond" w:hAnsi="Garamond"/>
          <w:sz w:val="22"/>
        </w:rPr>
        <w:t>feng-shui</w:t>
      </w:r>
      <w:proofErr w:type="spellEnd"/>
      <w:r>
        <w:rPr>
          <w:rFonts w:ascii="Garamond" w:hAnsi="Garamond"/>
          <w:sz w:val="22"/>
        </w:rPr>
        <w:t xml:space="preserve"> principles and their application in design decisions;</w:t>
      </w:r>
    </w:p>
    <w:p w:rsidR="00264616" w:rsidRDefault="00264616" w:rsidP="00264616">
      <w:pPr>
        <w:numPr>
          <w:ilvl w:val="0"/>
          <w:numId w:val="2"/>
        </w:numPr>
        <w:rPr>
          <w:rFonts w:ascii="Garamond" w:hAnsi="Garamond"/>
          <w:sz w:val="22"/>
        </w:rPr>
      </w:pPr>
      <w:r>
        <w:rPr>
          <w:rFonts w:ascii="Garamond" w:hAnsi="Garamond"/>
          <w:sz w:val="22"/>
        </w:rPr>
        <w:t>To enhance the ability to “read” symbols and icons, both physical and spatial, and be able to interpret their meaning.</w:t>
      </w:r>
    </w:p>
    <w:p w:rsidR="009C769E" w:rsidRDefault="009C769E" w:rsidP="009C769E">
      <w:pPr>
        <w:rPr>
          <w:rFonts w:ascii="Garamond" w:hAnsi="Garamond"/>
          <w:sz w:val="22"/>
        </w:rPr>
      </w:pPr>
    </w:p>
    <w:p w:rsidR="00633AA6" w:rsidRDefault="00633AA6" w:rsidP="009C769E">
      <w:pPr>
        <w:rPr>
          <w:rFonts w:ascii="Garamond" w:hAnsi="Garamond"/>
          <w:b/>
          <w:sz w:val="22"/>
        </w:rPr>
      </w:pPr>
    </w:p>
    <w:p w:rsidR="009C769E" w:rsidRDefault="009C769E" w:rsidP="009C769E">
      <w:pPr>
        <w:rPr>
          <w:rFonts w:ascii="Garamond" w:hAnsi="Garamond"/>
          <w:sz w:val="22"/>
        </w:rPr>
      </w:pPr>
      <w:r>
        <w:rPr>
          <w:rFonts w:ascii="Garamond" w:hAnsi="Garamond"/>
          <w:b/>
          <w:sz w:val="22"/>
        </w:rPr>
        <w:t>As a course in the Interior Design program you will demonstrate the following:</w:t>
      </w:r>
    </w:p>
    <w:p w:rsidR="009C769E" w:rsidRPr="00633AA6" w:rsidRDefault="009C769E" w:rsidP="00633AA6">
      <w:pPr>
        <w:pStyle w:val="ListParagraph"/>
        <w:numPr>
          <w:ilvl w:val="0"/>
          <w:numId w:val="4"/>
        </w:numPr>
        <w:rPr>
          <w:rFonts w:ascii="Garamond" w:hAnsi="Garamond"/>
          <w:sz w:val="22"/>
        </w:rPr>
      </w:pPr>
      <w:r w:rsidRPr="00633AA6">
        <w:rPr>
          <w:rFonts w:ascii="Garamond" w:hAnsi="Garamond"/>
          <w:sz w:val="22"/>
        </w:rPr>
        <w:t>A growth in your understanding of different cultures (Standard 2: Global Perspective for Design);</w:t>
      </w:r>
    </w:p>
    <w:p w:rsidR="009C769E" w:rsidRPr="00633AA6" w:rsidRDefault="009C769E" w:rsidP="00633AA6">
      <w:pPr>
        <w:pStyle w:val="ListParagraph"/>
        <w:numPr>
          <w:ilvl w:val="0"/>
          <w:numId w:val="4"/>
        </w:numPr>
        <w:rPr>
          <w:rFonts w:ascii="Garamond" w:hAnsi="Garamond"/>
          <w:sz w:val="22"/>
        </w:rPr>
      </w:pPr>
      <w:r w:rsidRPr="00633AA6">
        <w:rPr>
          <w:rFonts w:ascii="Garamond" w:hAnsi="Garamond"/>
          <w:sz w:val="22"/>
        </w:rPr>
        <w:t>A growth in your understanding of the diversity of social and behavioral norms (Standard 3: Human Behavior);</w:t>
      </w:r>
    </w:p>
    <w:p w:rsidR="009C769E" w:rsidRPr="00633AA6" w:rsidRDefault="009C769E" w:rsidP="00633AA6">
      <w:pPr>
        <w:pStyle w:val="ListParagraph"/>
        <w:numPr>
          <w:ilvl w:val="0"/>
          <w:numId w:val="4"/>
        </w:numPr>
        <w:rPr>
          <w:rFonts w:ascii="Garamond" w:hAnsi="Garamond"/>
          <w:sz w:val="22"/>
        </w:rPr>
      </w:pPr>
      <w:r w:rsidRPr="00633AA6">
        <w:rPr>
          <w:rFonts w:ascii="Garamond" w:hAnsi="Garamond"/>
          <w:sz w:val="22"/>
        </w:rPr>
        <w:t>A growth in your understanding of the design process (Standard 4: Design Process);</w:t>
      </w:r>
    </w:p>
    <w:p w:rsidR="009C769E" w:rsidRPr="00633AA6" w:rsidRDefault="00633AA6" w:rsidP="00633AA6">
      <w:pPr>
        <w:pStyle w:val="ListParagraph"/>
        <w:numPr>
          <w:ilvl w:val="0"/>
          <w:numId w:val="4"/>
        </w:numPr>
        <w:rPr>
          <w:rFonts w:ascii="Garamond" w:hAnsi="Garamond"/>
          <w:sz w:val="22"/>
        </w:rPr>
      </w:pPr>
      <w:r w:rsidRPr="00633AA6">
        <w:rPr>
          <w:rFonts w:ascii="Garamond" w:hAnsi="Garamond"/>
          <w:sz w:val="22"/>
        </w:rPr>
        <w:t>A growth in your understanding of how collaboration works (Standard 5: Collaboration);</w:t>
      </w:r>
    </w:p>
    <w:p w:rsidR="00633AA6" w:rsidRPr="00633AA6" w:rsidRDefault="00633AA6" w:rsidP="00633AA6">
      <w:pPr>
        <w:pStyle w:val="ListParagraph"/>
        <w:numPr>
          <w:ilvl w:val="0"/>
          <w:numId w:val="4"/>
        </w:numPr>
        <w:rPr>
          <w:rFonts w:ascii="Garamond" w:hAnsi="Garamond"/>
          <w:sz w:val="22"/>
        </w:rPr>
      </w:pPr>
      <w:r w:rsidRPr="00633AA6">
        <w:rPr>
          <w:rFonts w:ascii="Garamond" w:hAnsi="Garamond"/>
          <w:sz w:val="22"/>
        </w:rPr>
        <w:t>A growth in your understanding of the need to communicate effectively (Standard 6: Communication);</w:t>
      </w:r>
    </w:p>
    <w:p w:rsidR="00633AA6" w:rsidRPr="009C769E" w:rsidRDefault="00633AA6" w:rsidP="009C769E">
      <w:pPr>
        <w:rPr>
          <w:rFonts w:ascii="Garamond" w:hAnsi="Garamond"/>
          <w:sz w:val="22"/>
        </w:rPr>
      </w:pPr>
    </w:p>
    <w:p w:rsidR="00264616" w:rsidRDefault="00264616" w:rsidP="00264616">
      <w:pPr>
        <w:rPr>
          <w:rFonts w:ascii="Garamond" w:hAnsi="Garamond"/>
          <w:sz w:val="22"/>
        </w:rPr>
      </w:pPr>
    </w:p>
    <w:p w:rsidR="00264616" w:rsidRPr="00011964" w:rsidRDefault="00264616" w:rsidP="00264616">
      <w:pPr>
        <w:ind w:left="360" w:hanging="360"/>
        <w:rPr>
          <w:rFonts w:ascii="Garamond" w:hAnsi="Garamond"/>
          <w:b/>
          <w:sz w:val="22"/>
          <w:u w:val="single"/>
        </w:rPr>
      </w:pPr>
      <w:r w:rsidRPr="00011964">
        <w:rPr>
          <w:rFonts w:ascii="Garamond" w:hAnsi="Garamond"/>
          <w:b/>
          <w:sz w:val="22"/>
          <w:u w:val="single"/>
        </w:rPr>
        <w:t xml:space="preserve">Course </w:t>
      </w:r>
      <w:r>
        <w:rPr>
          <w:rFonts w:ascii="Garamond" w:hAnsi="Garamond"/>
          <w:b/>
          <w:sz w:val="22"/>
          <w:u w:val="single"/>
        </w:rPr>
        <w:t>Learning Outcomes—by the end of the semester you will have demonstrated knowledge of the following</w:t>
      </w:r>
      <w:r w:rsidRPr="00011964">
        <w:rPr>
          <w:rFonts w:ascii="Garamond" w:hAnsi="Garamond"/>
          <w:b/>
          <w:sz w:val="22"/>
          <w:u w:val="single"/>
        </w:rPr>
        <w:t>:</w:t>
      </w:r>
    </w:p>
    <w:p w:rsidR="009C769E" w:rsidRPr="009C769E" w:rsidRDefault="00264616" w:rsidP="009C769E">
      <w:pPr>
        <w:pStyle w:val="ListParagraph"/>
        <w:numPr>
          <w:ilvl w:val="0"/>
          <w:numId w:val="3"/>
        </w:numPr>
        <w:rPr>
          <w:rFonts w:ascii="Garamond" w:hAnsi="Garamond"/>
          <w:sz w:val="22"/>
          <w:szCs w:val="22"/>
        </w:rPr>
      </w:pPr>
      <w:r w:rsidRPr="009C769E">
        <w:rPr>
          <w:rFonts w:ascii="Garamond" w:hAnsi="Garamond"/>
          <w:sz w:val="22"/>
          <w:szCs w:val="22"/>
        </w:rPr>
        <w:t>Perception, reality and theory of explanation in the behavioral sciences and geography</w:t>
      </w:r>
    </w:p>
    <w:p w:rsidR="009C769E" w:rsidRPr="009C769E" w:rsidRDefault="00264616" w:rsidP="009C769E">
      <w:pPr>
        <w:pStyle w:val="ListParagraph"/>
        <w:numPr>
          <w:ilvl w:val="0"/>
          <w:numId w:val="3"/>
        </w:numPr>
        <w:rPr>
          <w:rFonts w:ascii="Garamond" w:hAnsi="Garamond"/>
          <w:sz w:val="22"/>
          <w:szCs w:val="22"/>
        </w:rPr>
      </w:pPr>
      <w:r w:rsidRPr="009C769E">
        <w:rPr>
          <w:rFonts w:ascii="Garamond" w:hAnsi="Garamond"/>
          <w:sz w:val="22"/>
          <w:szCs w:val="22"/>
        </w:rPr>
        <w:t>Semiotic and architectonic analysis, ritual space and post-modern analysis</w:t>
      </w:r>
    </w:p>
    <w:p w:rsidR="00264616" w:rsidRPr="009C769E" w:rsidRDefault="00264616" w:rsidP="009C769E">
      <w:pPr>
        <w:pStyle w:val="ListParagraph"/>
        <w:numPr>
          <w:ilvl w:val="0"/>
          <w:numId w:val="3"/>
        </w:numPr>
        <w:rPr>
          <w:rFonts w:ascii="Garamond" w:hAnsi="Garamond"/>
          <w:sz w:val="22"/>
          <w:szCs w:val="22"/>
        </w:rPr>
      </w:pPr>
      <w:r w:rsidRPr="009C769E">
        <w:rPr>
          <w:rFonts w:ascii="Garamond" w:hAnsi="Garamond"/>
          <w:sz w:val="22"/>
          <w:szCs w:val="22"/>
        </w:rPr>
        <w:t>Cultural diversity and symbolism in design—past and present</w:t>
      </w:r>
    </w:p>
    <w:p w:rsidR="009C769E" w:rsidRPr="009C769E" w:rsidRDefault="00264616" w:rsidP="009C769E">
      <w:pPr>
        <w:pStyle w:val="ListParagraph"/>
        <w:numPr>
          <w:ilvl w:val="0"/>
          <w:numId w:val="3"/>
        </w:numPr>
        <w:rPr>
          <w:rFonts w:ascii="Garamond" w:hAnsi="Garamond"/>
          <w:sz w:val="22"/>
          <w:szCs w:val="22"/>
        </w:rPr>
      </w:pPr>
      <w:r w:rsidRPr="009C769E">
        <w:rPr>
          <w:rFonts w:ascii="Garamond" w:hAnsi="Garamond"/>
          <w:sz w:val="22"/>
          <w:szCs w:val="22"/>
        </w:rPr>
        <w:t>American cultural landscapes and icons</w:t>
      </w:r>
    </w:p>
    <w:p w:rsidR="009C769E" w:rsidRPr="009C769E" w:rsidRDefault="00264616" w:rsidP="009C769E">
      <w:pPr>
        <w:pStyle w:val="ListParagraph"/>
        <w:numPr>
          <w:ilvl w:val="0"/>
          <w:numId w:val="3"/>
        </w:numPr>
        <w:rPr>
          <w:rFonts w:ascii="Garamond" w:hAnsi="Garamond"/>
          <w:sz w:val="22"/>
          <w:szCs w:val="22"/>
        </w:rPr>
      </w:pPr>
      <w:r w:rsidRPr="009C769E">
        <w:rPr>
          <w:rFonts w:ascii="Garamond" w:hAnsi="Garamond"/>
          <w:sz w:val="22"/>
          <w:szCs w:val="22"/>
        </w:rPr>
        <w:t>American artificial cultural landscapes-Waikiki, Disney and Las Vegas</w:t>
      </w:r>
    </w:p>
    <w:p w:rsidR="009C769E" w:rsidRPr="009C769E" w:rsidRDefault="00264616" w:rsidP="009C769E">
      <w:pPr>
        <w:pStyle w:val="ListParagraph"/>
        <w:numPr>
          <w:ilvl w:val="0"/>
          <w:numId w:val="3"/>
        </w:numPr>
        <w:rPr>
          <w:rFonts w:ascii="Garamond" w:hAnsi="Garamond"/>
          <w:sz w:val="22"/>
          <w:szCs w:val="22"/>
        </w:rPr>
      </w:pPr>
      <w:r w:rsidRPr="009C769E">
        <w:rPr>
          <w:rFonts w:ascii="Garamond" w:hAnsi="Garamond"/>
          <w:sz w:val="22"/>
          <w:szCs w:val="22"/>
        </w:rPr>
        <w:t>Cultural landscapes of Hawai`i 1000-20</w:t>
      </w:r>
      <w:r w:rsidR="009C769E" w:rsidRPr="009C769E">
        <w:rPr>
          <w:rFonts w:ascii="Garamond" w:hAnsi="Garamond"/>
          <w:sz w:val="22"/>
          <w:szCs w:val="22"/>
        </w:rPr>
        <w:t>10</w:t>
      </w:r>
    </w:p>
    <w:p w:rsidR="009C769E" w:rsidRPr="009C769E" w:rsidRDefault="00264616" w:rsidP="009C769E">
      <w:pPr>
        <w:pStyle w:val="ListParagraph"/>
        <w:numPr>
          <w:ilvl w:val="0"/>
          <w:numId w:val="3"/>
        </w:numPr>
        <w:rPr>
          <w:rFonts w:ascii="Garamond" w:hAnsi="Garamond"/>
          <w:sz w:val="22"/>
          <w:szCs w:val="22"/>
        </w:rPr>
      </w:pPr>
      <w:r w:rsidRPr="009C769E">
        <w:rPr>
          <w:rFonts w:ascii="Garamond" w:hAnsi="Garamond"/>
          <w:sz w:val="22"/>
          <w:szCs w:val="22"/>
        </w:rPr>
        <w:t>Spatial &amp; symbolic aspects of Asian societies</w:t>
      </w:r>
      <w:r w:rsidR="009C769E" w:rsidRPr="009C769E">
        <w:rPr>
          <w:rFonts w:ascii="Garamond" w:hAnsi="Garamond"/>
          <w:sz w:val="22"/>
          <w:szCs w:val="22"/>
        </w:rPr>
        <w:t>--interior spatial use and ritual space</w:t>
      </w:r>
    </w:p>
    <w:p w:rsidR="009C769E" w:rsidRPr="009C769E" w:rsidRDefault="00264616" w:rsidP="009C769E">
      <w:pPr>
        <w:pStyle w:val="ListParagraph"/>
        <w:numPr>
          <w:ilvl w:val="0"/>
          <w:numId w:val="3"/>
        </w:numPr>
        <w:rPr>
          <w:rFonts w:ascii="Garamond" w:hAnsi="Garamond"/>
          <w:sz w:val="22"/>
          <w:szCs w:val="22"/>
        </w:rPr>
      </w:pPr>
      <w:proofErr w:type="spellStart"/>
      <w:r w:rsidRPr="009C769E">
        <w:rPr>
          <w:rFonts w:ascii="Garamond" w:hAnsi="Garamond"/>
          <w:sz w:val="22"/>
          <w:szCs w:val="22"/>
        </w:rPr>
        <w:t>Feng</w:t>
      </w:r>
      <w:proofErr w:type="spellEnd"/>
      <w:r w:rsidRPr="009C769E">
        <w:rPr>
          <w:rFonts w:ascii="Garamond" w:hAnsi="Garamond"/>
          <w:sz w:val="22"/>
          <w:szCs w:val="22"/>
        </w:rPr>
        <w:t xml:space="preserve"> </w:t>
      </w:r>
      <w:proofErr w:type="spellStart"/>
      <w:r w:rsidRPr="009C769E">
        <w:rPr>
          <w:rFonts w:ascii="Garamond" w:hAnsi="Garamond"/>
          <w:sz w:val="22"/>
          <w:szCs w:val="22"/>
        </w:rPr>
        <w:t>shui</w:t>
      </w:r>
      <w:proofErr w:type="spellEnd"/>
      <w:r w:rsidRPr="009C769E">
        <w:rPr>
          <w:rFonts w:ascii="Garamond" w:hAnsi="Garamond"/>
          <w:sz w:val="22"/>
          <w:szCs w:val="22"/>
        </w:rPr>
        <w:t xml:space="preserve"> principles in Chinese interior space use and application</w:t>
      </w:r>
    </w:p>
    <w:p w:rsidR="00264616" w:rsidRPr="009C769E" w:rsidRDefault="00264616" w:rsidP="009C769E">
      <w:pPr>
        <w:pStyle w:val="ListParagraph"/>
        <w:numPr>
          <w:ilvl w:val="0"/>
          <w:numId w:val="3"/>
        </w:numPr>
        <w:rPr>
          <w:rFonts w:ascii="Garamond" w:hAnsi="Garamond"/>
          <w:sz w:val="22"/>
          <w:szCs w:val="22"/>
        </w:rPr>
      </w:pPr>
      <w:r w:rsidRPr="009C769E">
        <w:rPr>
          <w:rFonts w:ascii="Garamond" w:hAnsi="Garamond"/>
          <w:sz w:val="22"/>
          <w:szCs w:val="22"/>
        </w:rPr>
        <w:t>Cross-cultural integration of design values and concepts</w:t>
      </w:r>
    </w:p>
    <w:p w:rsidR="00264616" w:rsidRDefault="00264616" w:rsidP="00264616">
      <w:pPr>
        <w:rPr>
          <w:rFonts w:ascii="Garamond" w:hAnsi="Garamond"/>
          <w:sz w:val="22"/>
        </w:rPr>
      </w:pPr>
      <w:r>
        <w:rPr>
          <w:rFonts w:ascii="Garamond" w:hAnsi="Garamond"/>
          <w:sz w:val="22"/>
        </w:rPr>
        <w:tab/>
      </w:r>
    </w:p>
    <w:p w:rsidR="00633AA6" w:rsidRDefault="00633AA6" w:rsidP="00264616">
      <w:pPr>
        <w:rPr>
          <w:rFonts w:ascii="Garamond" w:hAnsi="Garamond"/>
          <w:b/>
          <w:sz w:val="22"/>
          <w:u w:val="single"/>
        </w:rPr>
      </w:pPr>
    </w:p>
    <w:p w:rsidR="00264616" w:rsidRPr="00A16C59" w:rsidRDefault="00264616" w:rsidP="00264616">
      <w:pPr>
        <w:rPr>
          <w:rFonts w:ascii="Garamond" w:hAnsi="Garamond"/>
          <w:b/>
          <w:sz w:val="22"/>
          <w:u w:val="single"/>
        </w:rPr>
      </w:pPr>
      <w:r w:rsidRPr="00A16C59">
        <w:rPr>
          <w:rFonts w:ascii="Garamond" w:hAnsi="Garamond"/>
          <w:b/>
          <w:sz w:val="22"/>
          <w:u w:val="single"/>
        </w:rPr>
        <w:t>Grading:</w:t>
      </w:r>
    </w:p>
    <w:p w:rsidR="00264616" w:rsidRDefault="003833B1" w:rsidP="00264616">
      <w:pPr>
        <w:numPr>
          <w:ilvl w:val="0"/>
          <w:numId w:val="1"/>
        </w:numPr>
        <w:rPr>
          <w:rFonts w:ascii="Garamond" w:hAnsi="Garamond"/>
          <w:sz w:val="22"/>
        </w:rPr>
      </w:pPr>
      <w:r>
        <w:rPr>
          <w:rFonts w:ascii="Garamond" w:hAnsi="Garamond"/>
          <w:sz w:val="22"/>
        </w:rPr>
        <w:t>Knowledge Competency</w:t>
      </w:r>
      <w:r w:rsidR="00264616">
        <w:rPr>
          <w:rFonts w:ascii="Garamond" w:hAnsi="Garamond"/>
          <w:sz w:val="22"/>
        </w:rPr>
        <w:t xml:space="preserve"> Papers: There will be a series of 2 papers required </w:t>
      </w:r>
      <w:r>
        <w:rPr>
          <w:rFonts w:ascii="Garamond" w:hAnsi="Garamond"/>
          <w:sz w:val="22"/>
        </w:rPr>
        <w:t xml:space="preserve">to measure your understanding of the concepts and </w:t>
      </w:r>
      <w:r w:rsidR="00264616">
        <w:rPr>
          <w:rFonts w:ascii="Garamond" w:hAnsi="Garamond"/>
          <w:sz w:val="22"/>
        </w:rPr>
        <w:t xml:space="preserve">issues raised in the readings and class discussions.  Each paper will be from 4-6 pages </w:t>
      </w:r>
      <w:r w:rsidR="00264616">
        <w:rPr>
          <w:rFonts w:ascii="Garamond" w:hAnsi="Garamond"/>
          <w:b/>
          <w:bCs/>
          <w:sz w:val="22"/>
        </w:rPr>
        <w:t>and must show analysis, critical review and synthesis on your part.</w:t>
      </w:r>
      <w:r w:rsidR="00264616">
        <w:rPr>
          <w:rFonts w:ascii="Garamond" w:hAnsi="Garamond"/>
          <w:sz w:val="22"/>
        </w:rPr>
        <w:t xml:space="preserve">  These papers take the place of exams and must illustrate your comprehension of the class material, especially the readings.  These will each count for 25% of the course grade (totaling 50% of the course grade).</w:t>
      </w:r>
    </w:p>
    <w:p w:rsidR="00264616" w:rsidRDefault="00264616" w:rsidP="00264616">
      <w:pPr>
        <w:numPr>
          <w:ilvl w:val="0"/>
          <w:numId w:val="1"/>
        </w:numPr>
        <w:rPr>
          <w:rFonts w:ascii="Garamond" w:hAnsi="Garamond"/>
          <w:sz w:val="22"/>
        </w:rPr>
      </w:pPr>
      <w:r>
        <w:rPr>
          <w:rFonts w:ascii="Garamond" w:hAnsi="Garamond"/>
          <w:sz w:val="22"/>
        </w:rPr>
        <w:t xml:space="preserve">Group Project Proposal: The group project will consist of a design problem in which a number of cultural factors </w:t>
      </w:r>
      <w:r w:rsidR="003833B1">
        <w:rPr>
          <w:rFonts w:ascii="Garamond" w:hAnsi="Garamond"/>
          <w:sz w:val="22"/>
        </w:rPr>
        <w:t>must</w:t>
      </w:r>
      <w:r>
        <w:rPr>
          <w:rFonts w:ascii="Garamond" w:hAnsi="Garamond"/>
          <w:sz w:val="22"/>
        </w:rPr>
        <w:t xml:space="preserve"> be applied.  I will provide the scenario</w:t>
      </w:r>
      <w:r w:rsidR="003833B1">
        <w:rPr>
          <w:rFonts w:ascii="Garamond" w:hAnsi="Garamond"/>
          <w:sz w:val="22"/>
        </w:rPr>
        <w:t xml:space="preserve"> in the form of a proposal</w:t>
      </w:r>
      <w:r>
        <w:rPr>
          <w:rFonts w:ascii="Garamond" w:hAnsi="Garamond"/>
          <w:sz w:val="22"/>
        </w:rPr>
        <w:t xml:space="preserve">.  The class will become </w:t>
      </w:r>
      <w:r w:rsidR="003833B1">
        <w:rPr>
          <w:rFonts w:ascii="Garamond" w:hAnsi="Garamond"/>
          <w:sz w:val="22"/>
        </w:rPr>
        <w:t>several private consulting firms</w:t>
      </w:r>
      <w:r>
        <w:rPr>
          <w:rFonts w:ascii="Garamond" w:hAnsi="Garamond"/>
          <w:sz w:val="22"/>
        </w:rPr>
        <w:t xml:space="preserve"> competing in </w:t>
      </w:r>
      <w:r w:rsidR="003833B1">
        <w:rPr>
          <w:rFonts w:ascii="Garamond" w:hAnsi="Garamond"/>
          <w:sz w:val="22"/>
        </w:rPr>
        <w:t xml:space="preserve">a formal </w:t>
      </w:r>
      <w:r>
        <w:rPr>
          <w:rFonts w:ascii="Garamond" w:hAnsi="Garamond"/>
          <w:sz w:val="22"/>
        </w:rPr>
        <w:t xml:space="preserve">proposal for </w:t>
      </w:r>
      <w:r w:rsidR="003833B1">
        <w:rPr>
          <w:rFonts w:ascii="Garamond" w:hAnsi="Garamond"/>
          <w:sz w:val="22"/>
        </w:rPr>
        <w:t>the</w:t>
      </w:r>
      <w:r>
        <w:rPr>
          <w:rFonts w:ascii="Garamond" w:hAnsi="Garamond"/>
          <w:sz w:val="22"/>
        </w:rPr>
        <w:t xml:space="preserve"> client.  </w:t>
      </w:r>
      <w:r w:rsidR="003833B1">
        <w:rPr>
          <w:rFonts w:ascii="Garamond" w:hAnsi="Garamond"/>
          <w:sz w:val="22"/>
        </w:rPr>
        <w:t xml:space="preserve">Every individual </w:t>
      </w:r>
      <w:r>
        <w:rPr>
          <w:rFonts w:ascii="Garamond" w:hAnsi="Garamond"/>
          <w:sz w:val="22"/>
        </w:rPr>
        <w:t xml:space="preserve">must contribute a unique portion of the proposal.  The final group proposal will be a minimum of </w:t>
      </w:r>
      <w:r w:rsidR="003833B1">
        <w:rPr>
          <w:rFonts w:ascii="Garamond" w:hAnsi="Garamond"/>
          <w:sz w:val="22"/>
        </w:rPr>
        <w:t>8</w:t>
      </w:r>
      <w:r>
        <w:rPr>
          <w:rFonts w:ascii="Garamond" w:hAnsi="Garamond"/>
          <w:sz w:val="22"/>
        </w:rPr>
        <w:t xml:space="preserve"> pages in length</w:t>
      </w:r>
      <w:r w:rsidR="003833B1">
        <w:rPr>
          <w:rFonts w:ascii="Garamond" w:hAnsi="Garamond"/>
          <w:sz w:val="22"/>
        </w:rPr>
        <w:t xml:space="preserve"> (text)</w:t>
      </w:r>
      <w:r>
        <w:rPr>
          <w:rFonts w:ascii="Garamond" w:hAnsi="Garamond"/>
          <w:sz w:val="22"/>
        </w:rPr>
        <w:t xml:space="preserve">.  The </w:t>
      </w:r>
      <w:proofErr w:type="gramStart"/>
      <w:r w:rsidR="003833B1">
        <w:rPr>
          <w:rFonts w:ascii="Garamond" w:hAnsi="Garamond"/>
          <w:sz w:val="22"/>
        </w:rPr>
        <w:t>group(</w:t>
      </w:r>
      <w:proofErr w:type="gramEnd"/>
      <w:r w:rsidR="003833B1">
        <w:rPr>
          <w:rFonts w:ascii="Garamond" w:hAnsi="Garamond"/>
          <w:sz w:val="22"/>
        </w:rPr>
        <w:t xml:space="preserve">firm) gets a group grade.  The </w:t>
      </w:r>
      <w:r>
        <w:rPr>
          <w:rFonts w:ascii="Garamond" w:hAnsi="Garamond"/>
          <w:sz w:val="22"/>
        </w:rPr>
        <w:t>winning proposal</w:t>
      </w:r>
      <w:r w:rsidR="003833B1">
        <w:rPr>
          <w:rFonts w:ascii="Garamond" w:hAnsi="Garamond"/>
          <w:sz w:val="22"/>
        </w:rPr>
        <w:t>(</w:t>
      </w:r>
      <w:r>
        <w:rPr>
          <w:rFonts w:ascii="Garamond" w:hAnsi="Garamond"/>
          <w:sz w:val="22"/>
        </w:rPr>
        <w:t>s</w:t>
      </w:r>
      <w:r w:rsidR="003833B1">
        <w:rPr>
          <w:rFonts w:ascii="Garamond" w:hAnsi="Garamond"/>
          <w:sz w:val="22"/>
        </w:rPr>
        <w:t>)</w:t>
      </w:r>
      <w:r>
        <w:rPr>
          <w:rFonts w:ascii="Garamond" w:hAnsi="Garamond"/>
          <w:sz w:val="22"/>
        </w:rPr>
        <w:t xml:space="preserve"> will get full credit, those considered substandard in quality and detail will only get partial credit.  The proposal will be reviewed by </w:t>
      </w:r>
      <w:r w:rsidR="003833B1">
        <w:rPr>
          <w:rFonts w:ascii="Garamond" w:hAnsi="Garamond"/>
          <w:sz w:val="22"/>
        </w:rPr>
        <w:t>1-</w:t>
      </w:r>
      <w:r>
        <w:rPr>
          <w:rFonts w:ascii="Garamond" w:hAnsi="Garamond"/>
          <w:sz w:val="22"/>
        </w:rPr>
        <w:t>2 judges outside of the instructor for professional quality.  The Project counts for 20% of the course grade.</w:t>
      </w:r>
      <w:r w:rsidR="003833B1">
        <w:rPr>
          <w:rFonts w:ascii="Garamond" w:hAnsi="Garamond"/>
          <w:sz w:val="22"/>
        </w:rPr>
        <w:t xml:space="preserve">  We will cover the expectations and go over process during the semester.</w:t>
      </w:r>
    </w:p>
    <w:p w:rsidR="00264616" w:rsidRDefault="00264616" w:rsidP="00264616">
      <w:pPr>
        <w:numPr>
          <w:ilvl w:val="0"/>
          <w:numId w:val="1"/>
        </w:numPr>
        <w:rPr>
          <w:rFonts w:ascii="Garamond" w:hAnsi="Garamond"/>
          <w:sz w:val="22"/>
        </w:rPr>
      </w:pPr>
      <w:r>
        <w:rPr>
          <w:rFonts w:ascii="Garamond" w:hAnsi="Garamond"/>
          <w:sz w:val="22"/>
        </w:rPr>
        <w:t>Reaction Papers:  There will be a series of reaction papers given during the semester</w:t>
      </w:r>
      <w:r w:rsidR="003833B1">
        <w:rPr>
          <w:rFonts w:ascii="Garamond" w:hAnsi="Garamond"/>
          <w:sz w:val="22"/>
        </w:rPr>
        <w:t xml:space="preserve"> in response to videos shown in class</w:t>
      </w:r>
      <w:r>
        <w:rPr>
          <w:rFonts w:ascii="Garamond" w:hAnsi="Garamond"/>
          <w:sz w:val="22"/>
        </w:rPr>
        <w:t>.  Each paper should be from 1-2 pages long.  The reaction papers will be worth 10% of the course grade.</w:t>
      </w:r>
    </w:p>
    <w:p w:rsidR="00264616" w:rsidRDefault="00264616" w:rsidP="00264616">
      <w:pPr>
        <w:numPr>
          <w:ilvl w:val="0"/>
          <w:numId w:val="1"/>
        </w:numPr>
        <w:rPr>
          <w:rFonts w:ascii="Garamond" w:hAnsi="Garamond"/>
          <w:sz w:val="22"/>
        </w:rPr>
      </w:pPr>
      <w:r>
        <w:rPr>
          <w:rFonts w:ascii="Garamond" w:hAnsi="Garamond"/>
          <w:sz w:val="22"/>
        </w:rPr>
        <w:t>Field Trips: You will be required to go on the Waikiki fieldtrip and write a short reaction paper based on the questions in the tour guide.  This will count for 5% of the course grade.</w:t>
      </w:r>
    </w:p>
    <w:p w:rsidR="00264616" w:rsidRDefault="00264616" w:rsidP="00264616">
      <w:pPr>
        <w:numPr>
          <w:ilvl w:val="0"/>
          <w:numId w:val="1"/>
        </w:numPr>
        <w:rPr>
          <w:rFonts w:ascii="Garamond" w:hAnsi="Garamond"/>
          <w:sz w:val="22"/>
        </w:rPr>
      </w:pPr>
      <w:r>
        <w:rPr>
          <w:rFonts w:ascii="Garamond" w:hAnsi="Garamond"/>
          <w:sz w:val="22"/>
        </w:rPr>
        <w:t>Attendance/Participation: Attendance is mandatory (university policy).  Your participation is critical to the entire group getting any utility out of this class.  Summary discussions are handled in class lectures—the books are readings rather than textbooks, so you must read in advance and participate in discussions.  Attendance and participation will count for 10% of the course grade.</w:t>
      </w:r>
    </w:p>
    <w:p w:rsidR="00264616" w:rsidRDefault="00264616" w:rsidP="00264616">
      <w:pPr>
        <w:numPr>
          <w:ilvl w:val="0"/>
          <w:numId w:val="1"/>
        </w:numPr>
        <w:rPr>
          <w:rFonts w:ascii="Garamond" w:hAnsi="Garamond"/>
          <w:sz w:val="22"/>
        </w:rPr>
      </w:pPr>
      <w:r>
        <w:rPr>
          <w:rFonts w:ascii="Garamond" w:hAnsi="Garamond"/>
          <w:sz w:val="22"/>
        </w:rPr>
        <w:lastRenderedPageBreak/>
        <w:t>Mobile Rules: Due to a recent problem with cell phones, the following rules are in place: 1) cell phones are off unless you have an emergency—let me know at the beginning of class; 2) text messaging is totally unacceptable in class—if you are caught, you are out of class for that day and listed as not attending.</w:t>
      </w:r>
    </w:p>
    <w:p w:rsidR="00264616" w:rsidRDefault="00264616" w:rsidP="00264616">
      <w:pPr>
        <w:rPr>
          <w:rFonts w:ascii="Garamond" w:hAnsi="Garamond"/>
          <w:sz w:val="22"/>
        </w:rPr>
      </w:pPr>
    </w:p>
    <w:p w:rsidR="00264616" w:rsidRDefault="00264616" w:rsidP="00264616">
      <w:pPr>
        <w:rPr>
          <w:rFonts w:ascii="Garamond" w:hAnsi="Garamond"/>
          <w:sz w:val="22"/>
        </w:rPr>
      </w:pPr>
      <w:r>
        <w:rPr>
          <w:rFonts w:ascii="Garamond" w:hAnsi="Garamond"/>
          <w:sz w:val="22"/>
        </w:rPr>
        <w:t>Course Grades:</w:t>
      </w:r>
      <w:r>
        <w:rPr>
          <w:rFonts w:ascii="Garamond" w:hAnsi="Garamond"/>
          <w:sz w:val="22"/>
        </w:rPr>
        <w:tab/>
        <w:t xml:space="preserve">Reaction Papers…….. </w:t>
      </w:r>
      <w:proofErr w:type="gramStart"/>
      <w:r>
        <w:rPr>
          <w:rFonts w:ascii="Garamond" w:hAnsi="Garamond"/>
          <w:sz w:val="22"/>
        </w:rPr>
        <w:t>50%</w:t>
      </w:r>
      <w:proofErr w:type="gramEnd"/>
      <w:r>
        <w:rPr>
          <w:rFonts w:ascii="Garamond" w:hAnsi="Garamond"/>
          <w:sz w:val="22"/>
        </w:rPr>
        <w:t>(2)</w:t>
      </w:r>
      <w:r>
        <w:rPr>
          <w:rFonts w:ascii="Garamond" w:hAnsi="Garamond"/>
          <w:sz w:val="22"/>
        </w:rPr>
        <w:tab/>
        <w:t>A= 90-100</w:t>
      </w:r>
      <w:r>
        <w:rPr>
          <w:rFonts w:ascii="Garamond" w:hAnsi="Garamond"/>
          <w:sz w:val="22"/>
        </w:rPr>
        <w:tab/>
        <w:t>D= 60-69</w:t>
      </w:r>
    </w:p>
    <w:p w:rsidR="00264616" w:rsidRDefault="00264616" w:rsidP="00264616">
      <w:pPr>
        <w:rPr>
          <w:rFonts w:ascii="Garamond" w:hAnsi="Garamond"/>
          <w:sz w:val="22"/>
        </w:rPr>
      </w:pPr>
      <w:r>
        <w:rPr>
          <w:rFonts w:ascii="Garamond" w:hAnsi="Garamond"/>
          <w:sz w:val="22"/>
        </w:rPr>
        <w:tab/>
      </w:r>
      <w:r>
        <w:rPr>
          <w:rFonts w:ascii="Garamond" w:hAnsi="Garamond"/>
          <w:sz w:val="22"/>
        </w:rPr>
        <w:tab/>
        <w:t>Group Project……….. 20%</w:t>
      </w:r>
      <w:r>
        <w:rPr>
          <w:rFonts w:ascii="Garamond" w:hAnsi="Garamond"/>
          <w:sz w:val="22"/>
        </w:rPr>
        <w:tab/>
        <w:t>B= 80-89</w:t>
      </w:r>
      <w:r>
        <w:rPr>
          <w:rFonts w:ascii="Garamond" w:hAnsi="Garamond"/>
          <w:sz w:val="22"/>
        </w:rPr>
        <w:tab/>
        <w:t>F= -60</w:t>
      </w:r>
    </w:p>
    <w:p w:rsidR="00264616" w:rsidRDefault="00264616" w:rsidP="00264616">
      <w:pPr>
        <w:rPr>
          <w:rFonts w:ascii="Garamond" w:hAnsi="Garamond"/>
          <w:sz w:val="22"/>
        </w:rPr>
      </w:pPr>
      <w:r>
        <w:rPr>
          <w:rFonts w:ascii="Garamond" w:hAnsi="Garamond"/>
          <w:sz w:val="22"/>
        </w:rPr>
        <w:tab/>
      </w:r>
      <w:r>
        <w:rPr>
          <w:rFonts w:ascii="Garamond" w:hAnsi="Garamond"/>
          <w:sz w:val="22"/>
        </w:rPr>
        <w:tab/>
        <w:t>Reaction Papers ………10%</w:t>
      </w:r>
      <w:r>
        <w:rPr>
          <w:rFonts w:ascii="Garamond" w:hAnsi="Garamond"/>
          <w:sz w:val="22"/>
        </w:rPr>
        <w:tab/>
        <w:t>C= 70-79</w:t>
      </w:r>
    </w:p>
    <w:p w:rsidR="00264616" w:rsidRDefault="00264616" w:rsidP="00264616">
      <w:pPr>
        <w:rPr>
          <w:rFonts w:ascii="Garamond" w:hAnsi="Garamond"/>
          <w:sz w:val="22"/>
        </w:rPr>
      </w:pPr>
      <w:r>
        <w:rPr>
          <w:rFonts w:ascii="Garamond" w:hAnsi="Garamond"/>
          <w:sz w:val="22"/>
        </w:rPr>
        <w:tab/>
      </w:r>
      <w:r>
        <w:rPr>
          <w:rFonts w:ascii="Garamond" w:hAnsi="Garamond"/>
          <w:sz w:val="22"/>
        </w:rPr>
        <w:tab/>
        <w:t>Field Trips …………… 10%</w:t>
      </w:r>
    </w:p>
    <w:p w:rsidR="00264616" w:rsidRDefault="00264616" w:rsidP="00264616">
      <w:pPr>
        <w:rPr>
          <w:rFonts w:ascii="Garamond" w:hAnsi="Garamond"/>
          <w:sz w:val="22"/>
        </w:rPr>
      </w:pPr>
      <w:r>
        <w:rPr>
          <w:rFonts w:ascii="Garamond" w:hAnsi="Garamond"/>
          <w:sz w:val="22"/>
        </w:rPr>
        <w:tab/>
      </w:r>
      <w:r>
        <w:rPr>
          <w:rFonts w:ascii="Garamond" w:hAnsi="Garamond"/>
          <w:sz w:val="22"/>
        </w:rPr>
        <w:tab/>
        <w:t>Attend/Participation …. 10%</w:t>
      </w:r>
    </w:p>
    <w:p w:rsidR="00264616" w:rsidRDefault="00264616" w:rsidP="00264616">
      <w:pPr>
        <w:rPr>
          <w:rFonts w:ascii="Garamond" w:hAnsi="Garamond"/>
          <w:sz w:val="22"/>
        </w:rPr>
      </w:pPr>
    </w:p>
    <w:p w:rsidR="00264616" w:rsidRDefault="00264616" w:rsidP="00264616">
      <w:pPr>
        <w:jc w:val="center"/>
        <w:rPr>
          <w:rFonts w:ascii="Garamond" w:hAnsi="Garamond"/>
          <w:i/>
          <w:sz w:val="22"/>
        </w:rPr>
      </w:pPr>
      <w:r>
        <w:rPr>
          <w:rFonts w:ascii="Garamond" w:hAnsi="Garamond"/>
          <w:i/>
          <w:sz w:val="22"/>
        </w:rPr>
        <w:t>Catalog: Cross-cultural aspects of social space, both at the level of the community and within structures.  Emphasis will be on the symbolic and contextual basis of design, especially in vernacular architecture.</w:t>
      </w:r>
    </w:p>
    <w:p w:rsidR="00264616" w:rsidRDefault="00264616" w:rsidP="00264616">
      <w:pPr>
        <w:jc w:val="center"/>
        <w:rPr>
          <w:rFonts w:ascii="Garamond" w:hAnsi="Garamond"/>
          <w:sz w:val="22"/>
        </w:rPr>
      </w:pPr>
      <w:r>
        <w:rPr>
          <w:rFonts w:ascii="Garamond" w:hAnsi="Garamond"/>
          <w:sz w:val="22"/>
        </w:rPr>
        <w:br w:type="page"/>
      </w:r>
      <w:r>
        <w:rPr>
          <w:rFonts w:ascii="Garamond" w:hAnsi="Garamond"/>
          <w:sz w:val="22"/>
        </w:rPr>
        <w:lastRenderedPageBreak/>
        <w:t>GE/ID 335: Tentati</w:t>
      </w:r>
      <w:r w:rsidR="003833B1">
        <w:rPr>
          <w:rFonts w:ascii="Garamond" w:hAnsi="Garamond"/>
          <w:sz w:val="22"/>
        </w:rPr>
        <w:t xml:space="preserve">ve Course Schedule        </w:t>
      </w:r>
      <w:r w:rsidR="003833B1">
        <w:rPr>
          <w:rFonts w:ascii="Garamond" w:hAnsi="Garamond"/>
          <w:sz w:val="22"/>
        </w:rPr>
        <w:tab/>
      </w:r>
      <w:r w:rsidR="003833B1">
        <w:rPr>
          <w:rFonts w:ascii="Garamond" w:hAnsi="Garamond"/>
          <w:sz w:val="22"/>
        </w:rPr>
        <w:tab/>
        <w:t>1/13</w:t>
      </w:r>
    </w:p>
    <w:p w:rsidR="00264616" w:rsidRDefault="00264616" w:rsidP="00264616">
      <w:pPr>
        <w:rPr>
          <w:rFonts w:ascii="Garamond" w:hAnsi="Garamond"/>
          <w:sz w:val="22"/>
        </w:rPr>
      </w:pPr>
    </w:p>
    <w:p w:rsidR="00264616" w:rsidRDefault="00264616" w:rsidP="00264616">
      <w:pPr>
        <w:rPr>
          <w:rFonts w:ascii="Garamond" w:hAnsi="Garamond"/>
          <w:sz w:val="22"/>
        </w:rPr>
      </w:pPr>
    </w:p>
    <w:p w:rsidR="00264616" w:rsidRDefault="00264616" w:rsidP="00264616">
      <w:pPr>
        <w:rPr>
          <w:rFonts w:ascii="Garamond" w:hAnsi="Garamond"/>
          <w:sz w:val="22"/>
        </w:rPr>
      </w:pPr>
      <w:r>
        <w:rPr>
          <w:rFonts w:ascii="Garamond" w:hAnsi="Garamond"/>
          <w:sz w:val="22"/>
        </w:rPr>
        <w:t>Jan. 1</w:t>
      </w:r>
      <w:r w:rsidR="003833B1">
        <w:rPr>
          <w:rFonts w:ascii="Garamond" w:hAnsi="Garamond"/>
          <w:sz w:val="22"/>
        </w:rPr>
        <w:t>4</w:t>
      </w:r>
      <w:r>
        <w:rPr>
          <w:rFonts w:ascii="Garamond" w:hAnsi="Garamond"/>
          <w:sz w:val="22"/>
        </w:rPr>
        <w:t>-</w:t>
      </w:r>
      <w:r w:rsidR="003833B1">
        <w:rPr>
          <w:rFonts w:ascii="Garamond" w:hAnsi="Garamond"/>
          <w:sz w:val="22"/>
        </w:rPr>
        <w:t>18</w:t>
      </w:r>
      <w:r>
        <w:rPr>
          <w:rFonts w:ascii="Garamond" w:hAnsi="Garamond"/>
          <w:sz w:val="22"/>
        </w:rPr>
        <w:t>: MODULE I:  Introduction the conceptual models</w:t>
      </w:r>
    </w:p>
    <w:p w:rsidR="00264616" w:rsidRDefault="00264616" w:rsidP="00264616">
      <w:pPr>
        <w:ind w:firstLine="720"/>
        <w:rPr>
          <w:rFonts w:ascii="Garamond" w:hAnsi="Garamond"/>
          <w:sz w:val="22"/>
        </w:rPr>
      </w:pPr>
      <w:proofErr w:type="gramStart"/>
      <w:r>
        <w:rPr>
          <w:rFonts w:ascii="Garamond" w:hAnsi="Garamond"/>
          <w:sz w:val="22"/>
        </w:rPr>
        <w:t>Perception, reality and theory of explanation in the behavioral sciences and geog.</w:t>
      </w:r>
      <w:proofErr w:type="gramEnd"/>
    </w:p>
    <w:p w:rsidR="00264616" w:rsidRPr="008E7B89" w:rsidRDefault="00264616" w:rsidP="00264616">
      <w:pPr>
        <w:rPr>
          <w:rFonts w:ascii="Garamond" w:hAnsi="Garamond"/>
          <w:b/>
          <w:sz w:val="22"/>
        </w:rPr>
      </w:pPr>
      <w:r w:rsidRPr="008E7B89">
        <w:rPr>
          <w:rFonts w:ascii="Garamond" w:hAnsi="Garamond"/>
          <w:b/>
          <w:sz w:val="22"/>
        </w:rPr>
        <w:tab/>
      </w:r>
      <w:r w:rsidRPr="008E7B89">
        <w:rPr>
          <w:rFonts w:ascii="Garamond" w:hAnsi="Garamond"/>
          <w:b/>
          <w:sz w:val="22"/>
        </w:rPr>
        <w:tab/>
        <w:t xml:space="preserve">Ass: Read Hall </w:t>
      </w:r>
      <w:r>
        <w:rPr>
          <w:rFonts w:ascii="Garamond" w:hAnsi="Garamond"/>
          <w:b/>
          <w:sz w:val="22"/>
        </w:rPr>
        <w:t>A</w:t>
      </w:r>
      <w:r w:rsidRPr="008E7B89">
        <w:rPr>
          <w:rFonts w:ascii="Garamond" w:hAnsi="Garamond"/>
          <w:b/>
          <w:sz w:val="22"/>
        </w:rPr>
        <w:t>ll,</w:t>
      </w:r>
      <w:r>
        <w:rPr>
          <w:rFonts w:ascii="Garamond" w:hAnsi="Garamond"/>
          <w:b/>
          <w:sz w:val="22"/>
        </w:rPr>
        <w:t xml:space="preserve"> Yap Part I</w:t>
      </w:r>
      <w:r w:rsidR="00741DE4">
        <w:rPr>
          <w:rFonts w:ascii="Garamond" w:hAnsi="Garamond"/>
          <w:b/>
          <w:sz w:val="22"/>
        </w:rPr>
        <w:t>, Thrum Module I</w:t>
      </w:r>
    </w:p>
    <w:p w:rsidR="00264616" w:rsidRDefault="00264616" w:rsidP="00264616">
      <w:pPr>
        <w:ind w:left="720"/>
        <w:rPr>
          <w:rFonts w:ascii="Garamond" w:hAnsi="Garamond"/>
          <w:sz w:val="22"/>
        </w:rPr>
      </w:pPr>
      <w:r>
        <w:rPr>
          <w:rFonts w:ascii="Garamond" w:hAnsi="Garamond"/>
          <w:sz w:val="22"/>
        </w:rPr>
        <w:t>Theory, space and perception: How geographers look at space, mental templates and forms of landscapes= cultural, physical, perceptual ritual and symbolic</w:t>
      </w:r>
    </w:p>
    <w:p w:rsidR="00264616" w:rsidRDefault="00264616" w:rsidP="00264616">
      <w:pPr>
        <w:ind w:left="720"/>
        <w:rPr>
          <w:rFonts w:ascii="Garamond" w:hAnsi="Garamond"/>
          <w:sz w:val="22"/>
        </w:rPr>
      </w:pPr>
      <w:r>
        <w:rPr>
          <w:rFonts w:ascii="Garamond" w:hAnsi="Garamond"/>
          <w:sz w:val="22"/>
        </w:rPr>
        <w:t xml:space="preserve">The power and </w:t>
      </w:r>
      <w:proofErr w:type="spellStart"/>
      <w:r>
        <w:rPr>
          <w:rFonts w:ascii="Garamond" w:hAnsi="Garamond"/>
          <w:sz w:val="22"/>
        </w:rPr>
        <w:t>subliminals</w:t>
      </w:r>
      <w:proofErr w:type="spellEnd"/>
      <w:r>
        <w:rPr>
          <w:rFonts w:ascii="Garamond" w:hAnsi="Garamond"/>
          <w:sz w:val="22"/>
        </w:rPr>
        <w:t xml:space="preserve"> of culture, material culture, symbolism and icons / Hall’s analysis, proxemics and kinesics / </w:t>
      </w:r>
      <w:proofErr w:type="gramStart"/>
      <w:r>
        <w:rPr>
          <w:rFonts w:ascii="Garamond" w:hAnsi="Garamond"/>
          <w:sz w:val="22"/>
        </w:rPr>
        <w:t>The</w:t>
      </w:r>
      <w:proofErr w:type="gramEnd"/>
      <w:r>
        <w:rPr>
          <w:rFonts w:ascii="Garamond" w:hAnsi="Garamond"/>
          <w:sz w:val="22"/>
        </w:rPr>
        <w:t xml:space="preserve"> power of culture to shape perception and reality</w:t>
      </w:r>
    </w:p>
    <w:p w:rsidR="00264616" w:rsidRDefault="00264616" w:rsidP="00264616">
      <w:pPr>
        <w:ind w:left="720"/>
        <w:rPr>
          <w:rFonts w:ascii="Garamond" w:hAnsi="Garamond"/>
          <w:sz w:val="22"/>
        </w:rPr>
      </w:pPr>
      <w:r>
        <w:rPr>
          <w:rFonts w:ascii="Garamond" w:hAnsi="Garamond"/>
          <w:sz w:val="22"/>
        </w:rPr>
        <w:t xml:space="preserve">Concepts, theory &amp; intimidating terminology: anthropology, communications and </w:t>
      </w:r>
      <w:proofErr w:type="spellStart"/>
      <w:r>
        <w:rPr>
          <w:rFonts w:ascii="Garamond" w:hAnsi="Garamond"/>
          <w:sz w:val="22"/>
        </w:rPr>
        <w:t>Venturi’s</w:t>
      </w:r>
      <w:proofErr w:type="spellEnd"/>
      <w:r>
        <w:rPr>
          <w:rFonts w:ascii="Garamond" w:hAnsi="Garamond"/>
          <w:sz w:val="22"/>
        </w:rPr>
        <w:t xml:space="preserve"> Las Vegas (proxemics) / Semiotic and architectonic analysis, ritual space and post-modern analysis</w:t>
      </w:r>
    </w:p>
    <w:p w:rsidR="00264616" w:rsidRDefault="00264616" w:rsidP="00264616">
      <w:pPr>
        <w:rPr>
          <w:rFonts w:ascii="Garamond" w:hAnsi="Garamond"/>
          <w:sz w:val="22"/>
        </w:rPr>
      </w:pPr>
      <w:r>
        <w:rPr>
          <w:rFonts w:ascii="Garamond" w:hAnsi="Garamond"/>
          <w:sz w:val="22"/>
        </w:rPr>
        <w:t>Jan.2</w:t>
      </w:r>
      <w:r w:rsidR="003833B1">
        <w:rPr>
          <w:rFonts w:ascii="Garamond" w:hAnsi="Garamond"/>
          <w:sz w:val="22"/>
        </w:rPr>
        <w:t>1</w:t>
      </w:r>
      <w:r>
        <w:rPr>
          <w:rFonts w:ascii="Garamond" w:hAnsi="Garamond"/>
          <w:sz w:val="22"/>
        </w:rPr>
        <w:t xml:space="preserve">-Feb. </w:t>
      </w:r>
      <w:r w:rsidR="003833B1">
        <w:rPr>
          <w:rFonts w:ascii="Garamond" w:hAnsi="Garamond"/>
          <w:sz w:val="22"/>
        </w:rPr>
        <w:t>1</w:t>
      </w:r>
      <w:r>
        <w:rPr>
          <w:rFonts w:ascii="Garamond" w:hAnsi="Garamond"/>
          <w:sz w:val="22"/>
        </w:rPr>
        <w:t>: MODULE II: Cultural/Ethnic Cultural Landscapes and Perception</w:t>
      </w:r>
    </w:p>
    <w:p w:rsidR="00264616" w:rsidRDefault="00264616" w:rsidP="00264616">
      <w:pPr>
        <w:ind w:firstLine="720"/>
        <w:rPr>
          <w:rFonts w:ascii="Garamond" w:hAnsi="Garamond"/>
          <w:sz w:val="22"/>
        </w:rPr>
      </w:pPr>
      <w:r>
        <w:rPr>
          <w:rFonts w:ascii="Garamond" w:hAnsi="Garamond"/>
          <w:sz w:val="22"/>
        </w:rPr>
        <w:t xml:space="preserve">Native American &amp; </w:t>
      </w:r>
      <w:proofErr w:type="spellStart"/>
      <w:r>
        <w:rPr>
          <w:rFonts w:ascii="Garamond" w:hAnsi="Garamond"/>
          <w:sz w:val="22"/>
        </w:rPr>
        <w:t>Euroamerican</w:t>
      </w:r>
      <w:proofErr w:type="spellEnd"/>
      <w:r>
        <w:rPr>
          <w:rFonts w:ascii="Garamond" w:hAnsi="Garamond"/>
          <w:sz w:val="22"/>
        </w:rPr>
        <w:t xml:space="preserve"> cultural landscapes 1800-2003</w:t>
      </w:r>
    </w:p>
    <w:p w:rsidR="00264616" w:rsidRDefault="00264616" w:rsidP="00264616">
      <w:pPr>
        <w:ind w:left="1440" w:hanging="720"/>
        <w:rPr>
          <w:rFonts w:ascii="Garamond" w:hAnsi="Garamond"/>
          <w:sz w:val="22"/>
        </w:rPr>
      </w:pPr>
      <w:r>
        <w:rPr>
          <w:rFonts w:ascii="Garamond" w:hAnsi="Garamond"/>
          <w:sz w:val="22"/>
        </w:rPr>
        <w:t>American cultural landscapes and icons: the New England town, Main Street U.S.A., and the Wild West</w:t>
      </w:r>
    </w:p>
    <w:p w:rsidR="00264616" w:rsidRPr="008E7B89" w:rsidRDefault="00264616" w:rsidP="00264616">
      <w:pPr>
        <w:ind w:firstLine="720"/>
        <w:rPr>
          <w:rFonts w:ascii="Garamond" w:hAnsi="Garamond"/>
          <w:b/>
          <w:sz w:val="22"/>
        </w:rPr>
      </w:pPr>
      <w:r w:rsidRPr="008E7B89">
        <w:rPr>
          <w:rFonts w:ascii="Garamond" w:hAnsi="Garamond"/>
          <w:b/>
          <w:sz w:val="22"/>
        </w:rPr>
        <w:t xml:space="preserve">Ass: Read </w:t>
      </w:r>
      <w:proofErr w:type="spellStart"/>
      <w:r>
        <w:rPr>
          <w:rFonts w:ascii="Garamond" w:hAnsi="Garamond"/>
          <w:b/>
          <w:sz w:val="22"/>
        </w:rPr>
        <w:t>Venturi</w:t>
      </w:r>
      <w:proofErr w:type="spellEnd"/>
      <w:r w:rsidRPr="008E7B89">
        <w:rPr>
          <w:rFonts w:ascii="Garamond" w:hAnsi="Garamond"/>
          <w:b/>
          <w:sz w:val="22"/>
        </w:rPr>
        <w:t xml:space="preserve"> All</w:t>
      </w:r>
      <w:r w:rsidR="00741DE4">
        <w:rPr>
          <w:rFonts w:ascii="Garamond" w:hAnsi="Garamond"/>
          <w:b/>
          <w:sz w:val="22"/>
        </w:rPr>
        <w:t>, Thrum Module II-III</w:t>
      </w:r>
    </w:p>
    <w:p w:rsidR="00264616" w:rsidRDefault="00264616" w:rsidP="00264616">
      <w:pPr>
        <w:ind w:left="720" w:hanging="720"/>
        <w:rPr>
          <w:rFonts w:ascii="Garamond" w:hAnsi="Garamond"/>
          <w:sz w:val="22"/>
        </w:rPr>
      </w:pPr>
      <w:r>
        <w:rPr>
          <w:rFonts w:ascii="Garamond" w:hAnsi="Garamond"/>
          <w:sz w:val="22"/>
        </w:rPr>
        <w:t xml:space="preserve">Feb. </w:t>
      </w:r>
      <w:r w:rsidR="003833B1">
        <w:rPr>
          <w:rFonts w:ascii="Garamond" w:hAnsi="Garamond"/>
          <w:sz w:val="22"/>
        </w:rPr>
        <w:t>4</w:t>
      </w:r>
      <w:r>
        <w:rPr>
          <w:rFonts w:ascii="Garamond" w:hAnsi="Garamond"/>
          <w:sz w:val="22"/>
        </w:rPr>
        <w:t>-1</w:t>
      </w:r>
      <w:r w:rsidR="003833B1">
        <w:rPr>
          <w:rFonts w:ascii="Garamond" w:hAnsi="Garamond"/>
          <w:sz w:val="22"/>
        </w:rPr>
        <w:t>5</w:t>
      </w:r>
      <w:r>
        <w:rPr>
          <w:rFonts w:ascii="Garamond" w:hAnsi="Garamond"/>
          <w:sz w:val="22"/>
        </w:rPr>
        <w:t>: MODULE III: Modern American artificial cultural landscapes-Waikiki, Disney and Las Vegas</w:t>
      </w:r>
    </w:p>
    <w:p w:rsidR="00264616" w:rsidRDefault="00264616" w:rsidP="00264616">
      <w:pPr>
        <w:ind w:left="1080" w:hanging="360"/>
        <w:rPr>
          <w:rFonts w:ascii="Garamond" w:hAnsi="Garamond"/>
          <w:sz w:val="22"/>
        </w:rPr>
      </w:pPr>
      <w:r>
        <w:rPr>
          <w:rFonts w:ascii="Garamond" w:hAnsi="Garamond"/>
          <w:sz w:val="22"/>
        </w:rPr>
        <w:t>Concept of ‘functionality’ in modern American design as reflecting symbolism and ethnocentrism</w:t>
      </w:r>
    </w:p>
    <w:p w:rsidR="00264616" w:rsidRPr="00E776DA" w:rsidRDefault="00264616" w:rsidP="00264616">
      <w:pPr>
        <w:rPr>
          <w:rFonts w:ascii="Garamond" w:hAnsi="Garamond"/>
          <w:b/>
          <w:sz w:val="22"/>
        </w:rPr>
      </w:pPr>
      <w:r>
        <w:rPr>
          <w:rFonts w:ascii="Garamond" w:hAnsi="Garamond"/>
          <w:sz w:val="22"/>
        </w:rPr>
        <w:tab/>
      </w:r>
      <w:r w:rsidR="00741DE4">
        <w:rPr>
          <w:rFonts w:ascii="Garamond" w:hAnsi="Garamond"/>
          <w:b/>
          <w:sz w:val="22"/>
        </w:rPr>
        <w:t>Ass: Read Thrum Module IV</w:t>
      </w:r>
    </w:p>
    <w:p w:rsidR="00264616" w:rsidRDefault="00264616" w:rsidP="00264616">
      <w:pPr>
        <w:rPr>
          <w:rFonts w:ascii="Garamond" w:hAnsi="Garamond"/>
          <w:sz w:val="22"/>
        </w:rPr>
      </w:pPr>
      <w:r>
        <w:rPr>
          <w:rFonts w:ascii="Garamond" w:hAnsi="Garamond"/>
          <w:sz w:val="22"/>
        </w:rPr>
        <w:t xml:space="preserve">Feb. </w:t>
      </w:r>
      <w:r w:rsidR="003833B1">
        <w:rPr>
          <w:rFonts w:ascii="Garamond" w:hAnsi="Garamond"/>
          <w:sz w:val="22"/>
        </w:rPr>
        <w:t>18</w:t>
      </w:r>
      <w:r>
        <w:rPr>
          <w:rFonts w:ascii="Garamond" w:hAnsi="Garamond"/>
          <w:sz w:val="22"/>
        </w:rPr>
        <w:t xml:space="preserve">-March </w:t>
      </w:r>
      <w:r w:rsidR="003833B1">
        <w:rPr>
          <w:rFonts w:ascii="Garamond" w:hAnsi="Garamond"/>
          <w:sz w:val="22"/>
        </w:rPr>
        <w:t>1</w:t>
      </w:r>
      <w:r>
        <w:rPr>
          <w:rFonts w:ascii="Garamond" w:hAnsi="Garamond"/>
          <w:sz w:val="22"/>
        </w:rPr>
        <w:t xml:space="preserve">:  MODULE IV:  Hawaiian cultural landscapes 1000-2000 </w:t>
      </w:r>
      <w:proofErr w:type="spellStart"/>
      <w:r>
        <w:rPr>
          <w:rFonts w:ascii="Garamond" w:hAnsi="Garamond"/>
          <w:sz w:val="22"/>
        </w:rPr>
        <w:t>a.d.</w:t>
      </w:r>
      <w:proofErr w:type="spellEnd"/>
    </w:p>
    <w:p w:rsidR="00264616" w:rsidRDefault="00264616" w:rsidP="00264616">
      <w:pPr>
        <w:ind w:firstLine="720"/>
        <w:rPr>
          <w:rFonts w:ascii="Garamond" w:hAnsi="Garamond"/>
          <w:sz w:val="22"/>
        </w:rPr>
      </w:pPr>
      <w:r>
        <w:rPr>
          <w:rFonts w:ascii="Garamond" w:hAnsi="Garamond"/>
          <w:sz w:val="22"/>
        </w:rPr>
        <w:t xml:space="preserve">Community planning and geomancy in traditional </w:t>
      </w:r>
      <w:smartTag w:uri="urn:schemas-microsoft-com:office:smarttags" w:element="place">
        <w:r>
          <w:rPr>
            <w:rFonts w:ascii="Garamond" w:hAnsi="Garamond"/>
            <w:sz w:val="22"/>
          </w:rPr>
          <w:t>Oceania</w:t>
        </w:r>
      </w:smartTag>
    </w:p>
    <w:p w:rsidR="00264616" w:rsidRDefault="00264616" w:rsidP="00264616">
      <w:pPr>
        <w:rPr>
          <w:rFonts w:ascii="Garamond" w:hAnsi="Garamond"/>
          <w:b/>
          <w:sz w:val="22"/>
        </w:rPr>
      </w:pPr>
      <w:r w:rsidRPr="008E7B89">
        <w:rPr>
          <w:rFonts w:ascii="Garamond" w:hAnsi="Garamond"/>
          <w:b/>
          <w:sz w:val="22"/>
        </w:rPr>
        <w:tab/>
        <w:t xml:space="preserve">Ass: </w:t>
      </w:r>
      <w:r>
        <w:rPr>
          <w:rFonts w:ascii="Garamond" w:hAnsi="Garamond"/>
          <w:b/>
          <w:sz w:val="22"/>
        </w:rPr>
        <w:t xml:space="preserve">Read </w:t>
      </w:r>
      <w:proofErr w:type="spellStart"/>
      <w:r w:rsidRPr="008E7B89">
        <w:rPr>
          <w:rFonts w:ascii="Garamond" w:hAnsi="Garamond"/>
          <w:b/>
          <w:sz w:val="22"/>
        </w:rPr>
        <w:t>Waialeale</w:t>
      </w:r>
      <w:proofErr w:type="spellEnd"/>
      <w:r w:rsidRPr="008E7B89">
        <w:rPr>
          <w:rFonts w:ascii="Garamond" w:hAnsi="Garamond"/>
          <w:b/>
          <w:sz w:val="22"/>
        </w:rPr>
        <w:t xml:space="preserve">, </w:t>
      </w:r>
      <w:proofErr w:type="spellStart"/>
      <w:r w:rsidRPr="008E7B89">
        <w:rPr>
          <w:rFonts w:ascii="Garamond" w:hAnsi="Garamond"/>
          <w:b/>
          <w:sz w:val="22"/>
        </w:rPr>
        <w:t>Haleole</w:t>
      </w:r>
      <w:proofErr w:type="spellEnd"/>
      <w:r w:rsidRPr="008E7B89">
        <w:rPr>
          <w:rFonts w:ascii="Garamond" w:hAnsi="Garamond"/>
          <w:b/>
          <w:sz w:val="22"/>
        </w:rPr>
        <w:t xml:space="preserve"> </w:t>
      </w:r>
      <w:proofErr w:type="spellStart"/>
      <w:r>
        <w:rPr>
          <w:rFonts w:ascii="Garamond" w:hAnsi="Garamond"/>
          <w:b/>
          <w:sz w:val="22"/>
        </w:rPr>
        <w:t>xeroxes</w:t>
      </w:r>
      <w:proofErr w:type="spellEnd"/>
    </w:p>
    <w:p w:rsidR="00264616" w:rsidRPr="008E7B89" w:rsidRDefault="00264616" w:rsidP="00264616">
      <w:pPr>
        <w:rPr>
          <w:rFonts w:ascii="Garamond" w:hAnsi="Garamond"/>
          <w:b/>
          <w:sz w:val="22"/>
        </w:rPr>
      </w:pPr>
      <w:r>
        <w:rPr>
          <w:rFonts w:ascii="Garamond" w:hAnsi="Garamond"/>
          <w:b/>
          <w:sz w:val="22"/>
        </w:rPr>
        <w:tab/>
        <w:t>1</w:t>
      </w:r>
      <w:r w:rsidRPr="00807D7A">
        <w:rPr>
          <w:rFonts w:ascii="Garamond" w:hAnsi="Garamond"/>
          <w:b/>
          <w:sz w:val="22"/>
          <w:vertAlign w:val="superscript"/>
        </w:rPr>
        <w:t>st</w:t>
      </w:r>
      <w:r>
        <w:rPr>
          <w:rFonts w:ascii="Garamond" w:hAnsi="Garamond"/>
          <w:b/>
          <w:sz w:val="22"/>
        </w:rPr>
        <w:t xml:space="preserve"> Synthesis Paper Assignment handed out</w:t>
      </w:r>
    </w:p>
    <w:p w:rsidR="00264616" w:rsidRDefault="00264616" w:rsidP="00264616">
      <w:pPr>
        <w:rPr>
          <w:rFonts w:ascii="Garamond" w:hAnsi="Garamond"/>
          <w:sz w:val="22"/>
        </w:rPr>
      </w:pPr>
      <w:r>
        <w:rPr>
          <w:rFonts w:ascii="Garamond" w:hAnsi="Garamond"/>
          <w:sz w:val="22"/>
        </w:rPr>
        <w:t xml:space="preserve">March </w:t>
      </w:r>
      <w:r w:rsidR="003833B1">
        <w:rPr>
          <w:rFonts w:ascii="Garamond" w:hAnsi="Garamond"/>
          <w:sz w:val="22"/>
        </w:rPr>
        <w:t>4</w:t>
      </w:r>
      <w:r>
        <w:rPr>
          <w:rFonts w:ascii="Garamond" w:hAnsi="Garamond"/>
          <w:sz w:val="22"/>
        </w:rPr>
        <w:t>-1</w:t>
      </w:r>
      <w:r w:rsidR="003833B1">
        <w:rPr>
          <w:rFonts w:ascii="Garamond" w:hAnsi="Garamond"/>
          <w:sz w:val="22"/>
        </w:rPr>
        <w:t>5</w:t>
      </w:r>
      <w:r>
        <w:rPr>
          <w:rFonts w:ascii="Garamond" w:hAnsi="Garamond"/>
          <w:sz w:val="22"/>
        </w:rPr>
        <w:t>: MODULE V: East Asian Cultural Landscapes and Geomantic Logic</w:t>
      </w:r>
    </w:p>
    <w:p w:rsidR="00264616" w:rsidRDefault="00264616" w:rsidP="00264616">
      <w:pPr>
        <w:ind w:left="720"/>
        <w:rPr>
          <w:rFonts w:ascii="Garamond" w:hAnsi="Garamond"/>
          <w:sz w:val="22"/>
        </w:rPr>
      </w:pPr>
      <w:r>
        <w:rPr>
          <w:rFonts w:ascii="Garamond" w:hAnsi="Garamond"/>
          <w:sz w:val="22"/>
        </w:rPr>
        <w:t xml:space="preserve">Spatial &amp; symbolic aspects of Asian societies—Chinese urban planning and </w:t>
      </w:r>
      <w:proofErr w:type="spellStart"/>
      <w:r>
        <w:rPr>
          <w:rFonts w:ascii="Garamond" w:hAnsi="Garamond"/>
          <w:sz w:val="22"/>
        </w:rPr>
        <w:t>feng</w:t>
      </w:r>
      <w:proofErr w:type="spellEnd"/>
      <w:r>
        <w:rPr>
          <w:rFonts w:ascii="Garamond" w:hAnsi="Garamond"/>
          <w:sz w:val="22"/>
        </w:rPr>
        <w:t xml:space="preserve"> </w:t>
      </w:r>
      <w:proofErr w:type="spellStart"/>
      <w:r>
        <w:rPr>
          <w:rFonts w:ascii="Garamond" w:hAnsi="Garamond"/>
          <w:sz w:val="22"/>
        </w:rPr>
        <w:t>shui</w:t>
      </w:r>
      <w:proofErr w:type="spellEnd"/>
    </w:p>
    <w:p w:rsidR="00264616" w:rsidRDefault="00264616" w:rsidP="00264616">
      <w:pPr>
        <w:ind w:left="720"/>
        <w:rPr>
          <w:rFonts w:ascii="Garamond" w:hAnsi="Garamond"/>
          <w:sz w:val="22"/>
        </w:rPr>
      </w:pPr>
      <w:proofErr w:type="spellStart"/>
      <w:r>
        <w:rPr>
          <w:rFonts w:ascii="Garamond" w:hAnsi="Garamond"/>
          <w:sz w:val="22"/>
        </w:rPr>
        <w:t>Feng</w:t>
      </w:r>
      <w:proofErr w:type="spellEnd"/>
      <w:r>
        <w:rPr>
          <w:rFonts w:ascii="Garamond" w:hAnsi="Garamond"/>
          <w:sz w:val="22"/>
        </w:rPr>
        <w:t xml:space="preserve"> </w:t>
      </w:r>
      <w:proofErr w:type="spellStart"/>
      <w:r>
        <w:rPr>
          <w:rFonts w:ascii="Garamond" w:hAnsi="Garamond"/>
          <w:sz w:val="22"/>
        </w:rPr>
        <w:t>shui</w:t>
      </w:r>
      <w:proofErr w:type="spellEnd"/>
      <w:r>
        <w:rPr>
          <w:rFonts w:ascii="Garamond" w:hAnsi="Garamond"/>
          <w:sz w:val="22"/>
        </w:rPr>
        <w:t xml:space="preserve"> implications in Chinese formal &amp; vernacular architecture / </w:t>
      </w:r>
      <w:proofErr w:type="spellStart"/>
      <w:r>
        <w:rPr>
          <w:rFonts w:ascii="Garamond" w:hAnsi="Garamond"/>
          <w:sz w:val="22"/>
        </w:rPr>
        <w:t>Feng</w:t>
      </w:r>
      <w:proofErr w:type="spellEnd"/>
      <w:r>
        <w:rPr>
          <w:rFonts w:ascii="Garamond" w:hAnsi="Garamond"/>
          <w:sz w:val="22"/>
        </w:rPr>
        <w:t xml:space="preserve"> </w:t>
      </w:r>
      <w:proofErr w:type="spellStart"/>
      <w:r>
        <w:rPr>
          <w:rFonts w:ascii="Garamond" w:hAnsi="Garamond"/>
          <w:sz w:val="22"/>
        </w:rPr>
        <w:t>shui</w:t>
      </w:r>
      <w:proofErr w:type="spellEnd"/>
      <w:r>
        <w:rPr>
          <w:rFonts w:ascii="Garamond" w:hAnsi="Garamond"/>
          <w:sz w:val="22"/>
        </w:rPr>
        <w:t xml:space="preserve"> principles in Chinese interior space use and application / Japanese perception and the application of </w:t>
      </w:r>
      <w:proofErr w:type="spellStart"/>
      <w:r>
        <w:rPr>
          <w:rFonts w:ascii="Garamond" w:hAnsi="Garamond"/>
          <w:sz w:val="22"/>
        </w:rPr>
        <w:t>feng</w:t>
      </w:r>
      <w:proofErr w:type="spellEnd"/>
      <w:r>
        <w:rPr>
          <w:rFonts w:ascii="Garamond" w:hAnsi="Garamond"/>
          <w:sz w:val="22"/>
        </w:rPr>
        <w:t xml:space="preserve"> </w:t>
      </w:r>
      <w:proofErr w:type="spellStart"/>
      <w:r>
        <w:rPr>
          <w:rFonts w:ascii="Garamond" w:hAnsi="Garamond"/>
          <w:sz w:val="22"/>
        </w:rPr>
        <w:t>shui</w:t>
      </w:r>
      <w:proofErr w:type="spellEnd"/>
      <w:r>
        <w:rPr>
          <w:rFonts w:ascii="Garamond" w:hAnsi="Garamond"/>
          <w:sz w:val="22"/>
        </w:rPr>
        <w:t xml:space="preserve"> principles / Japanese interior spatial use and ritual space</w:t>
      </w:r>
    </w:p>
    <w:p w:rsidR="00264616" w:rsidRPr="002C5853" w:rsidRDefault="00264616" w:rsidP="00264616">
      <w:pPr>
        <w:ind w:firstLine="720"/>
        <w:rPr>
          <w:rFonts w:ascii="Garamond" w:hAnsi="Garamond"/>
          <w:b/>
          <w:sz w:val="22"/>
        </w:rPr>
      </w:pPr>
      <w:r w:rsidRPr="002C5853">
        <w:rPr>
          <w:rFonts w:ascii="Garamond" w:hAnsi="Garamond"/>
          <w:b/>
          <w:sz w:val="22"/>
        </w:rPr>
        <w:t xml:space="preserve">Ass: Read </w:t>
      </w:r>
      <w:r>
        <w:rPr>
          <w:rFonts w:ascii="Garamond" w:hAnsi="Garamond"/>
          <w:b/>
          <w:sz w:val="22"/>
        </w:rPr>
        <w:t>Yap</w:t>
      </w:r>
      <w:r w:rsidRPr="002C5853">
        <w:rPr>
          <w:rFonts w:ascii="Garamond" w:hAnsi="Garamond"/>
          <w:b/>
          <w:sz w:val="22"/>
        </w:rPr>
        <w:t xml:space="preserve"> Part II-</w:t>
      </w:r>
      <w:r>
        <w:rPr>
          <w:rFonts w:ascii="Garamond" w:hAnsi="Garamond"/>
          <w:b/>
          <w:sz w:val="22"/>
        </w:rPr>
        <w:t>end</w:t>
      </w:r>
      <w:r w:rsidRPr="002C5853">
        <w:rPr>
          <w:rFonts w:ascii="Garamond" w:hAnsi="Garamond"/>
          <w:b/>
          <w:sz w:val="22"/>
        </w:rPr>
        <w:t xml:space="preserve">: </w:t>
      </w:r>
      <w:r w:rsidRPr="002C5853">
        <w:rPr>
          <w:rFonts w:ascii="Garamond" w:hAnsi="Garamond"/>
          <w:b/>
          <w:sz w:val="22"/>
          <w:u w:val="single"/>
        </w:rPr>
        <w:t xml:space="preserve">Assignment-work out your own </w:t>
      </w:r>
      <w:proofErr w:type="spellStart"/>
      <w:r w:rsidRPr="002C5853">
        <w:rPr>
          <w:rFonts w:ascii="Garamond" w:hAnsi="Garamond"/>
          <w:b/>
          <w:sz w:val="22"/>
          <w:u w:val="single"/>
        </w:rPr>
        <w:t>feng</w:t>
      </w:r>
      <w:proofErr w:type="spellEnd"/>
      <w:r w:rsidRPr="002C5853">
        <w:rPr>
          <w:rFonts w:ascii="Garamond" w:hAnsi="Garamond"/>
          <w:b/>
          <w:sz w:val="22"/>
          <w:u w:val="single"/>
        </w:rPr>
        <w:t xml:space="preserve"> </w:t>
      </w:r>
      <w:proofErr w:type="spellStart"/>
      <w:r w:rsidRPr="002C5853">
        <w:rPr>
          <w:rFonts w:ascii="Garamond" w:hAnsi="Garamond"/>
          <w:b/>
          <w:sz w:val="22"/>
          <w:u w:val="single"/>
        </w:rPr>
        <w:t>shui</w:t>
      </w:r>
      <w:proofErr w:type="spellEnd"/>
      <w:r w:rsidRPr="002C5853">
        <w:rPr>
          <w:rFonts w:ascii="Garamond" w:hAnsi="Garamond"/>
          <w:b/>
          <w:sz w:val="22"/>
          <w:u w:val="single"/>
        </w:rPr>
        <w:t xml:space="preserve"> chart</w:t>
      </w:r>
    </w:p>
    <w:p w:rsidR="00264616" w:rsidRDefault="00264616" w:rsidP="00264616">
      <w:pPr>
        <w:rPr>
          <w:rFonts w:ascii="Garamond" w:hAnsi="Garamond"/>
          <w:sz w:val="22"/>
        </w:rPr>
      </w:pPr>
      <w:r>
        <w:rPr>
          <w:rFonts w:ascii="Garamond" w:hAnsi="Garamond"/>
          <w:sz w:val="22"/>
        </w:rPr>
        <w:t>March 1</w:t>
      </w:r>
      <w:r w:rsidR="003833B1">
        <w:rPr>
          <w:rFonts w:ascii="Garamond" w:hAnsi="Garamond"/>
          <w:sz w:val="22"/>
        </w:rPr>
        <w:t>8</w:t>
      </w:r>
      <w:r>
        <w:rPr>
          <w:rFonts w:ascii="Garamond" w:hAnsi="Garamond"/>
          <w:sz w:val="22"/>
        </w:rPr>
        <w:t>-</w:t>
      </w:r>
      <w:r w:rsidR="00741DE4">
        <w:rPr>
          <w:rFonts w:ascii="Garamond" w:hAnsi="Garamond"/>
          <w:sz w:val="22"/>
        </w:rPr>
        <w:t>2</w:t>
      </w:r>
      <w:r w:rsidR="003833B1">
        <w:rPr>
          <w:rFonts w:ascii="Garamond" w:hAnsi="Garamond"/>
          <w:sz w:val="22"/>
        </w:rPr>
        <w:t>2</w:t>
      </w:r>
      <w:r>
        <w:rPr>
          <w:rFonts w:ascii="Garamond" w:hAnsi="Garamond"/>
          <w:sz w:val="22"/>
        </w:rPr>
        <w:t>: MODULE VI: Interior Icons—furniture and other pieces of material culture</w:t>
      </w:r>
    </w:p>
    <w:p w:rsidR="00264616" w:rsidRDefault="00264616" w:rsidP="00264616">
      <w:pPr>
        <w:ind w:left="720"/>
        <w:rPr>
          <w:rFonts w:ascii="Garamond" w:hAnsi="Garamond"/>
          <w:sz w:val="22"/>
        </w:rPr>
      </w:pPr>
      <w:r>
        <w:rPr>
          <w:rFonts w:ascii="Garamond" w:hAnsi="Garamond"/>
          <w:sz w:val="22"/>
        </w:rPr>
        <w:t xml:space="preserve">The Victorian world (Ames article) and vanished ritual objects / </w:t>
      </w:r>
      <w:proofErr w:type="gramStart"/>
      <w:r>
        <w:rPr>
          <w:rFonts w:ascii="Garamond" w:hAnsi="Garamond"/>
          <w:sz w:val="22"/>
        </w:rPr>
        <w:t>Spatial</w:t>
      </w:r>
      <w:proofErr w:type="gramEnd"/>
      <w:r>
        <w:rPr>
          <w:rFonts w:ascii="Garamond" w:hAnsi="Garamond"/>
          <w:sz w:val="22"/>
        </w:rPr>
        <w:t xml:space="preserve"> concepts in past cultures / Interior space from </w:t>
      </w:r>
      <w:proofErr w:type="spellStart"/>
      <w:r>
        <w:rPr>
          <w:rFonts w:ascii="Garamond" w:hAnsi="Garamond"/>
          <w:sz w:val="22"/>
        </w:rPr>
        <w:t>proxemic</w:t>
      </w:r>
      <w:proofErr w:type="spellEnd"/>
      <w:r>
        <w:rPr>
          <w:rFonts w:ascii="Garamond" w:hAnsi="Garamond"/>
          <w:sz w:val="22"/>
        </w:rPr>
        <w:t xml:space="preserve"> &amp; symbolic perspectives</w:t>
      </w:r>
    </w:p>
    <w:p w:rsidR="00264616" w:rsidRDefault="00264616" w:rsidP="00264616">
      <w:pPr>
        <w:ind w:left="720"/>
        <w:rPr>
          <w:rFonts w:ascii="Garamond" w:hAnsi="Garamond"/>
          <w:sz w:val="22"/>
        </w:rPr>
      </w:pPr>
      <w:r>
        <w:rPr>
          <w:rFonts w:ascii="Garamond" w:hAnsi="Garamond"/>
          <w:sz w:val="22"/>
        </w:rPr>
        <w:t>Cultural, religious and moral logic in interior space / Ames analysis—the lawn as estate, dinner table as ritual stage</w:t>
      </w:r>
    </w:p>
    <w:p w:rsidR="00264616" w:rsidRPr="008B166D" w:rsidRDefault="00264616" w:rsidP="00264616">
      <w:pPr>
        <w:ind w:firstLine="720"/>
        <w:rPr>
          <w:rFonts w:ascii="Garamond" w:hAnsi="Garamond"/>
          <w:b/>
          <w:sz w:val="22"/>
        </w:rPr>
      </w:pPr>
      <w:r>
        <w:rPr>
          <w:rFonts w:ascii="Garamond" w:hAnsi="Garamond"/>
          <w:b/>
          <w:sz w:val="22"/>
        </w:rPr>
        <w:t>2</w:t>
      </w:r>
      <w:r w:rsidRPr="008B166D">
        <w:rPr>
          <w:rFonts w:ascii="Garamond" w:hAnsi="Garamond"/>
          <w:b/>
          <w:sz w:val="22"/>
          <w:vertAlign w:val="superscript"/>
        </w:rPr>
        <w:t>nd</w:t>
      </w:r>
      <w:r>
        <w:rPr>
          <w:rFonts w:ascii="Garamond" w:hAnsi="Garamond"/>
          <w:b/>
          <w:sz w:val="22"/>
        </w:rPr>
        <w:t xml:space="preserve"> Synthesis Paper handed out</w:t>
      </w:r>
    </w:p>
    <w:p w:rsidR="00264616" w:rsidRDefault="00264616" w:rsidP="00264616">
      <w:pPr>
        <w:rPr>
          <w:rFonts w:ascii="Garamond" w:hAnsi="Garamond"/>
          <w:sz w:val="22"/>
        </w:rPr>
      </w:pPr>
      <w:r>
        <w:rPr>
          <w:rFonts w:ascii="Garamond" w:hAnsi="Garamond"/>
          <w:sz w:val="22"/>
        </w:rPr>
        <w:t>March 2</w:t>
      </w:r>
      <w:r w:rsidR="003833B1">
        <w:rPr>
          <w:rFonts w:ascii="Garamond" w:hAnsi="Garamond"/>
          <w:sz w:val="22"/>
        </w:rPr>
        <w:t>5</w:t>
      </w:r>
      <w:r>
        <w:rPr>
          <w:rFonts w:ascii="Garamond" w:hAnsi="Garamond"/>
          <w:sz w:val="22"/>
        </w:rPr>
        <w:t>-</w:t>
      </w:r>
      <w:r w:rsidR="003321FA">
        <w:rPr>
          <w:rFonts w:ascii="Garamond" w:hAnsi="Garamond"/>
          <w:sz w:val="22"/>
        </w:rPr>
        <w:t>29</w:t>
      </w:r>
      <w:r>
        <w:rPr>
          <w:rFonts w:ascii="Garamond" w:hAnsi="Garamond"/>
          <w:sz w:val="22"/>
        </w:rPr>
        <w:t>: SPRING BREAK</w:t>
      </w:r>
    </w:p>
    <w:p w:rsidR="00264616" w:rsidRDefault="00264616" w:rsidP="00264616">
      <w:pPr>
        <w:rPr>
          <w:rFonts w:ascii="Garamond" w:hAnsi="Garamond"/>
          <w:sz w:val="22"/>
        </w:rPr>
      </w:pPr>
      <w:r>
        <w:rPr>
          <w:rFonts w:ascii="Garamond" w:hAnsi="Garamond"/>
          <w:sz w:val="22"/>
        </w:rPr>
        <w:t xml:space="preserve">April </w:t>
      </w:r>
      <w:r w:rsidR="003321FA">
        <w:rPr>
          <w:rFonts w:ascii="Garamond" w:hAnsi="Garamond"/>
          <w:sz w:val="22"/>
        </w:rPr>
        <w:t>1</w:t>
      </w:r>
      <w:r>
        <w:rPr>
          <w:rFonts w:ascii="Garamond" w:hAnsi="Garamond"/>
          <w:sz w:val="22"/>
        </w:rPr>
        <w:t>-1</w:t>
      </w:r>
      <w:r w:rsidR="003321FA">
        <w:rPr>
          <w:rFonts w:ascii="Garamond" w:hAnsi="Garamond"/>
          <w:sz w:val="22"/>
        </w:rPr>
        <w:t>2</w:t>
      </w:r>
      <w:r>
        <w:rPr>
          <w:rFonts w:ascii="Garamond" w:hAnsi="Garamond"/>
          <w:sz w:val="22"/>
        </w:rPr>
        <w:t>: MODULE VII: Integrated Planning and Design</w:t>
      </w:r>
    </w:p>
    <w:p w:rsidR="00264616" w:rsidRDefault="00264616" w:rsidP="00264616">
      <w:pPr>
        <w:ind w:left="720"/>
        <w:rPr>
          <w:rFonts w:ascii="Garamond" w:hAnsi="Garamond"/>
          <w:sz w:val="22"/>
        </w:rPr>
      </w:pPr>
      <w:r>
        <w:rPr>
          <w:rFonts w:ascii="Garamond" w:hAnsi="Garamond"/>
          <w:sz w:val="22"/>
        </w:rPr>
        <w:t xml:space="preserve">Planning and Development—history and trends / Planning in Hawai`i / Contemporary planning issues on </w:t>
      </w:r>
      <w:proofErr w:type="spellStart"/>
      <w:r>
        <w:rPr>
          <w:rFonts w:ascii="Garamond" w:hAnsi="Garamond"/>
          <w:sz w:val="22"/>
        </w:rPr>
        <w:t>O`ahu</w:t>
      </w:r>
      <w:proofErr w:type="spellEnd"/>
      <w:r>
        <w:rPr>
          <w:rFonts w:ascii="Garamond" w:hAnsi="Garamond"/>
          <w:sz w:val="22"/>
        </w:rPr>
        <w:t xml:space="preserve"> / Community planning issues—values in space / Integrating </w:t>
      </w:r>
      <w:proofErr w:type="spellStart"/>
      <w:r>
        <w:rPr>
          <w:rFonts w:ascii="Garamond" w:hAnsi="Garamond"/>
          <w:sz w:val="22"/>
        </w:rPr>
        <w:t>Euroamerican</w:t>
      </w:r>
      <w:proofErr w:type="spellEnd"/>
      <w:r>
        <w:rPr>
          <w:rFonts w:ascii="Garamond" w:hAnsi="Garamond"/>
          <w:sz w:val="22"/>
        </w:rPr>
        <w:t xml:space="preserve"> concepts of design with Oceanic values</w:t>
      </w:r>
    </w:p>
    <w:p w:rsidR="00264616" w:rsidRDefault="00264616" w:rsidP="00264616">
      <w:pPr>
        <w:rPr>
          <w:rFonts w:ascii="Garamond" w:hAnsi="Garamond"/>
          <w:sz w:val="22"/>
        </w:rPr>
      </w:pPr>
      <w:r>
        <w:rPr>
          <w:rFonts w:ascii="Garamond" w:hAnsi="Garamond"/>
          <w:sz w:val="22"/>
        </w:rPr>
        <w:t>April 1</w:t>
      </w:r>
      <w:r w:rsidR="003321FA">
        <w:rPr>
          <w:rFonts w:ascii="Garamond" w:hAnsi="Garamond"/>
          <w:sz w:val="22"/>
        </w:rPr>
        <w:t>5</w:t>
      </w:r>
      <w:r>
        <w:rPr>
          <w:rFonts w:ascii="Garamond" w:hAnsi="Garamond"/>
          <w:sz w:val="22"/>
        </w:rPr>
        <w:t>-</w:t>
      </w:r>
      <w:r w:rsidR="00741DE4">
        <w:rPr>
          <w:rFonts w:ascii="Garamond" w:hAnsi="Garamond"/>
          <w:sz w:val="22"/>
        </w:rPr>
        <w:t xml:space="preserve">May </w:t>
      </w:r>
      <w:r w:rsidR="003321FA">
        <w:rPr>
          <w:rFonts w:ascii="Garamond" w:hAnsi="Garamond"/>
          <w:sz w:val="22"/>
        </w:rPr>
        <w:t>3</w:t>
      </w:r>
      <w:r>
        <w:rPr>
          <w:rFonts w:ascii="Garamond" w:hAnsi="Garamond"/>
          <w:sz w:val="22"/>
        </w:rPr>
        <w:t>: MODULE VIII: Group Project</w:t>
      </w:r>
    </w:p>
    <w:p w:rsidR="00264616" w:rsidRDefault="00264616" w:rsidP="00264616">
      <w:pPr>
        <w:ind w:left="720"/>
        <w:rPr>
          <w:rFonts w:ascii="Garamond" w:hAnsi="Garamond"/>
          <w:sz w:val="22"/>
        </w:rPr>
      </w:pPr>
      <w:r>
        <w:rPr>
          <w:rFonts w:ascii="Garamond" w:hAnsi="Garamond"/>
          <w:sz w:val="22"/>
        </w:rPr>
        <w:t>Practical application of theory—</w:t>
      </w:r>
      <w:proofErr w:type="spellStart"/>
      <w:r>
        <w:rPr>
          <w:rFonts w:ascii="Garamond" w:hAnsi="Garamond"/>
          <w:sz w:val="22"/>
        </w:rPr>
        <w:t>feng</w:t>
      </w:r>
      <w:proofErr w:type="spellEnd"/>
      <w:r>
        <w:rPr>
          <w:rFonts w:ascii="Garamond" w:hAnsi="Garamond"/>
          <w:sz w:val="22"/>
        </w:rPr>
        <w:t xml:space="preserve"> </w:t>
      </w:r>
      <w:proofErr w:type="spellStart"/>
      <w:r>
        <w:rPr>
          <w:rFonts w:ascii="Garamond" w:hAnsi="Garamond"/>
          <w:sz w:val="22"/>
        </w:rPr>
        <w:t>shui</w:t>
      </w:r>
      <w:proofErr w:type="spellEnd"/>
      <w:r>
        <w:rPr>
          <w:rFonts w:ascii="Garamond" w:hAnsi="Garamond"/>
          <w:sz w:val="22"/>
        </w:rPr>
        <w:t xml:space="preserve"> and clients / Group work—case studies / Group work—final formulation / Group work—final formulation/ summation</w:t>
      </w:r>
    </w:p>
    <w:p w:rsidR="00264616" w:rsidRDefault="00264616" w:rsidP="00264616">
      <w:pPr>
        <w:rPr>
          <w:rFonts w:ascii="Garamond" w:hAnsi="Garamond"/>
          <w:b/>
          <w:bCs/>
          <w:sz w:val="22"/>
        </w:rPr>
      </w:pPr>
      <w:r w:rsidRPr="00741DE4">
        <w:rPr>
          <w:rFonts w:ascii="Garamond" w:hAnsi="Garamond"/>
          <w:b/>
          <w:sz w:val="22"/>
        </w:rPr>
        <w:t xml:space="preserve">May 4: </w:t>
      </w:r>
      <w:r w:rsidRPr="00741DE4">
        <w:rPr>
          <w:rFonts w:ascii="Garamond" w:hAnsi="Garamond"/>
          <w:b/>
          <w:sz w:val="22"/>
        </w:rPr>
        <w:tab/>
      </w:r>
      <w:r>
        <w:rPr>
          <w:rFonts w:ascii="Garamond" w:hAnsi="Garamond"/>
          <w:b/>
          <w:sz w:val="22"/>
        </w:rPr>
        <w:t xml:space="preserve">Group </w:t>
      </w:r>
      <w:r>
        <w:rPr>
          <w:rFonts w:ascii="Garamond" w:hAnsi="Garamond"/>
          <w:b/>
          <w:bCs/>
          <w:sz w:val="22"/>
        </w:rPr>
        <w:t>Project Paper due 3:00pm</w:t>
      </w:r>
      <w:r w:rsidR="00741DE4">
        <w:rPr>
          <w:rFonts w:ascii="Garamond" w:hAnsi="Garamond"/>
          <w:b/>
          <w:bCs/>
          <w:sz w:val="22"/>
        </w:rPr>
        <w:t xml:space="preserve">—later projects will be collective 1 grade off per day </w:t>
      </w:r>
    </w:p>
    <w:p w:rsidR="003321FA" w:rsidRDefault="003321FA" w:rsidP="00264616">
      <w:pPr>
        <w:rPr>
          <w:rFonts w:ascii="Garamond" w:hAnsi="Garamond"/>
          <w:b/>
          <w:bCs/>
          <w:sz w:val="22"/>
        </w:rPr>
      </w:pPr>
      <w:r>
        <w:rPr>
          <w:rFonts w:ascii="Garamond" w:hAnsi="Garamond"/>
          <w:b/>
          <w:bCs/>
          <w:sz w:val="22"/>
        </w:rPr>
        <w:tab/>
        <w:t>Everyone must also submit a copy of their unique contribution to the group project.</w:t>
      </w:r>
    </w:p>
    <w:p w:rsidR="00264616" w:rsidRDefault="00264616" w:rsidP="00264616">
      <w:pPr>
        <w:pStyle w:val="Title"/>
        <w:rPr>
          <w:sz w:val="22"/>
          <w:szCs w:val="22"/>
        </w:rPr>
      </w:pPr>
    </w:p>
    <w:p w:rsidR="00264616" w:rsidRDefault="00264616" w:rsidP="00264616">
      <w:pPr>
        <w:widowControl w:val="0"/>
        <w:jc w:val="center"/>
        <w:rPr>
          <w:rFonts w:ascii="Garamond" w:hAnsi="Garamond" w:cs="Garamond"/>
          <w:b/>
          <w:sz w:val="22"/>
          <w:szCs w:val="22"/>
        </w:rPr>
      </w:pPr>
    </w:p>
    <w:p w:rsidR="00264616" w:rsidRPr="0077630B" w:rsidRDefault="00264616" w:rsidP="00264616">
      <w:pPr>
        <w:widowControl w:val="0"/>
        <w:rPr>
          <w:rFonts w:ascii="Garamond" w:hAnsi="Garamond" w:cs="Garamond"/>
          <w:b/>
          <w:sz w:val="22"/>
          <w:szCs w:val="22"/>
        </w:rPr>
      </w:pPr>
      <w:r>
        <w:rPr>
          <w:rFonts w:ascii="Garamond" w:hAnsi="Garamond" w:cs="Garamond"/>
          <w:b/>
          <w:sz w:val="22"/>
          <w:szCs w:val="22"/>
        </w:rPr>
        <w:br w:type="page"/>
      </w:r>
      <w:r>
        <w:rPr>
          <w:rFonts w:ascii="Garamond" w:hAnsi="Garamond" w:cs="Garamond"/>
          <w:b/>
          <w:sz w:val="22"/>
          <w:szCs w:val="22"/>
        </w:rPr>
        <w:lastRenderedPageBreak/>
        <w:t xml:space="preserve">T.G. Thrum’s ANNUALS </w:t>
      </w:r>
      <w:r w:rsidRPr="0077630B">
        <w:rPr>
          <w:rFonts w:ascii="Garamond" w:hAnsi="Garamond" w:cs="Garamond"/>
          <w:b/>
          <w:sz w:val="22"/>
          <w:szCs w:val="22"/>
        </w:rPr>
        <w:t>Readings</w:t>
      </w:r>
      <w:r>
        <w:rPr>
          <w:rFonts w:ascii="Garamond" w:hAnsi="Garamond" w:cs="Garamond"/>
          <w:b/>
          <w:sz w:val="22"/>
          <w:szCs w:val="22"/>
        </w:rPr>
        <w:t xml:space="preserve"> for GE/ID 335</w:t>
      </w:r>
    </w:p>
    <w:p w:rsidR="00264616" w:rsidRDefault="00264616" w:rsidP="00264616">
      <w:pPr>
        <w:ind w:left="576" w:hanging="720"/>
        <w:jc w:val="center"/>
        <w:rPr>
          <w:rFonts w:ascii="Garamond" w:hAnsi="Garamond" w:cs="Garamond"/>
          <w:sz w:val="22"/>
          <w:szCs w:val="22"/>
        </w:rPr>
      </w:pPr>
    </w:p>
    <w:p w:rsidR="00264616" w:rsidRPr="000B4A9D" w:rsidRDefault="00264616" w:rsidP="00264616">
      <w:pPr>
        <w:widowControl w:val="0"/>
        <w:rPr>
          <w:rFonts w:ascii="Garamond" w:hAnsi="Garamond" w:cs="Garamond"/>
          <w:sz w:val="22"/>
          <w:szCs w:val="22"/>
          <w:u w:val="single"/>
        </w:rPr>
      </w:pPr>
      <w:r w:rsidRPr="000B4A9D">
        <w:rPr>
          <w:rFonts w:ascii="Garamond" w:hAnsi="Garamond" w:cs="Garamond"/>
          <w:sz w:val="22"/>
          <w:szCs w:val="22"/>
          <w:u w:val="single"/>
        </w:rPr>
        <w:t xml:space="preserve">Module I: Read from </w:t>
      </w:r>
      <w:r w:rsidRPr="00741DE4">
        <w:rPr>
          <w:rFonts w:ascii="Garamond" w:hAnsi="Garamond" w:cs="Garamond"/>
          <w:b/>
          <w:sz w:val="22"/>
          <w:szCs w:val="22"/>
          <w:u w:val="single"/>
        </w:rPr>
        <w:t>Vol. 2: I HALA AND ARCHAEOLOGY</w:t>
      </w:r>
    </w:p>
    <w:p w:rsidR="00264616" w:rsidRPr="0077630B" w:rsidRDefault="00264616" w:rsidP="00264616">
      <w:pPr>
        <w:widowControl w:val="0"/>
        <w:rPr>
          <w:rFonts w:ascii="Garamond" w:hAnsi="Garamond" w:cs="Garamond"/>
          <w:sz w:val="22"/>
          <w:szCs w:val="22"/>
        </w:rPr>
      </w:pPr>
      <w:r w:rsidRPr="0077630B">
        <w:rPr>
          <w:rFonts w:ascii="Garamond" w:hAnsi="Garamond" w:cs="Garamond"/>
          <w:sz w:val="22"/>
          <w:szCs w:val="22"/>
        </w:rPr>
        <w:t>Traditional Hawaiian society as viewed in the late 19</w:t>
      </w:r>
      <w:r w:rsidRPr="0077630B">
        <w:rPr>
          <w:rFonts w:ascii="Garamond" w:hAnsi="Garamond" w:cs="Garamond"/>
          <w:sz w:val="22"/>
          <w:szCs w:val="22"/>
          <w:vertAlign w:val="superscript"/>
        </w:rPr>
        <w:t>th</w:t>
      </w:r>
      <w:r w:rsidRPr="0077630B">
        <w:rPr>
          <w:rFonts w:ascii="Garamond" w:hAnsi="Garamond" w:cs="Garamond"/>
          <w:sz w:val="22"/>
          <w:szCs w:val="22"/>
        </w:rPr>
        <w:t xml:space="preserve"> century:</w:t>
      </w:r>
    </w:p>
    <w:p w:rsidR="00264616" w:rsidRDefault="00264616" w:rsidP="00264616">
      <w:pPr>
        <w:widowControl w:val="0"/>
        <w:rPr>
          <w:rFonts w:ascii="Garamond" w:hAnsi="Garamond" w:cs="Garamond"/>
          <w:sz w:val="22"/>
          <w:szCs w:val="22"/>
        </w:rPr>
      </w:pPr>
    </w:p>
    <w:p w:rsidR="00264616" w:rsidRPr="0077630B" w:rsidRDefault="00264616" w:rsidP="00264616">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 xml:space="preserve">1887: </w:t>
      </w:r>
      <w:r w:rsidRPr="0077630B">
        <w:rPr>
          <w:rFonts w:ascii="Garamond" w:hAnsi="Garamond" w:cs="Garamond"/>
          <w:sz w:val="22"/>
          <w:szCs w:val="22"/>
        </w:rPr>
        <w:t>Hawaiian Poetical Names for Places, by C.M. Hyde</w:t>
      </w:r>
      <w:r>
        <w:rPr>
          <w:rFonts w:ascii="Garamond" w:hAnsi="Garamond" w:cs="Garamond"/>
          <w:sz w:val="22"/>
          <w:szCs w:val="22"/>
        </w:rPr>
        <w:t xml:space="preserve"> ………</w:t>
      </w:r>
      <w:r w:rsidRPr="0077630B">
        <w:rPr>
          <w:rFonts w:ascii="Garamond" w:hAnsi="Garamond" w:cs="Garamond"/>
          <w:sz w:val="22"/>
          <w:szCs w:val="22"/>
        </w:rPr>
        <w:t>....................... 111</w:t>
      </w:r>
    </w:p>
    <w:p w:rsidR="00264616" w:rsidRPr="0077630B" w:rsidRDefault="00264616" w:rsidP="00264616">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1905</w:t>
      </w:r>
      <w:r w:rsidRPr="0077630B">
        <w:rPr>
          <w:rFonts w:ascii="Garamond" w:hAnsi="Garamond" w:cs="Garamond"/>
          <w:sz w:val="22"/>
          <w:szCs w:val="22"/>
        </w:rPr>
        <w:t xml:space="preserve">: On Hawaiian Duplicated Place Names,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120</w:t>
      </w:r>
    </w:p>
    <w:p w:rsidR="00264616" w:rsidRPr="0077630B" w:rsidRDefault="00264616" w:rsidP="00264616">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1922</w:t>
      </w:r>
      <w:r w:rsidRPr="0077630B">
        <w:rPr>
          <w:rFonts w:ascii="Garamond" w:hAnsi="Garamond" w:cs="Garamond"/>
          <w:sz w:val="22"/>
          <w:szCs w:val="22"/>
        </w:rPr>
        <w:t>: Wrestling with Place Names, by T.G. Thrum</w:t>
      </w:r>
      <w:r>
        <w:rPr>
          <w:rFonts w:ascii="Garamond" w:hAnsi="Garamond" w:cs="Garamond"/>
          <w:sz w:val="22"/>
          <w:szCs w:val="22"/>
        </w:rPr>
        <w:t xml:space="preserve"> ………</w:t>
      </w:r>
      <w:r w:rsidRPr="0077630B">
        <w:rPr>
          <w:rFonts w:ascii="Garamond" w:hAnsi="Garamond" w:cs="Garamond"/>
          <w:sz w:val="22"/>
          <w:szCs w:val="22"/>
        </w:rPr>
        <w:t>................................... 124</w:t>
      </w:r>
    </w:p>
    <w:p w:rsidR="00264616" w:rsidRPr="0077630B" w:rsidRDefault="00264616" w:rsidP="00264616">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1925</w:t>
      </w:r>
      <w:r w:rsidRPr="0077630B">
        <w:rPr>
          <w:rFonts w:ascii="Garamond" w:hAnsi="Garamond" w:cs="Garamond"/>
          <w:sz w:val="22"/>
          <w:szCs w:val="22"/>
        </w:rPr>
        <w:t>: A Sea Island Land System, by J.M. Lydgate</w:t>
      </w:r>
      <w:r>
        <w:rPr>
          <w:rFonts w:ascii="Garamond" w:hAnsi="Garamond" w:cs="Garamond"/>
          <w:sz w:val="22"/>
          <w:szCs w:val="22"/>
        </w:rPr>
        <w:t xml:space="preserve"> ………</w:t>
      </w:r>
      <w:r w:rsidRPr="0077630B">
        <w:rPr>
          <w:rFonts w:ascii="Garamond" w:hAnsi="Garamond" w:cs="Garamond"/>
          <w:sz w:val="22"/>
          <w:szCs w:val="22"/>
        </w:rPr>
        <w:t>...................................... 126</w:t>
      </w:r>
    </w:p>
    <w:p w:rsidR="00264616" w:rsidRPr="0077630B" w:rsidRDefault="00264616" w:rsidP="00264616">
      <w:pPr>
        <w:widowControl w:val="0"/>
        <w:ind w:left="720" w:hanging="720"/>
        <w:rPr>
          <w:rFonts w:ascii="Garamond" w:hAnsi="Garamond" w:cs="Garamond"/>
          <w:sz w:val="22"/>
          <w:szCs w:val="22"/>
        </w:rPr>
      </w:pPr>
      <w:r>
        <w:rPr>
          <w:rFonts w:ascii="Garamond" w:hAnsi="Garamond" w:cs="Garamond"/>
          <w:b/>
          <w:sz w:val="22"/>
          <w:szCs w:val="22"/>
        </w:rPr>
        <w:t xml:space="preserve">*1925: </w:t>
      </w:r>
      <w:r w:rsidRPr="0077630B">
        <w:rPr>
          <w:rFonts w:ascii="Garamond" w:hAnsi="Garamond" w:cs="Garamond"/>
          <w:sz w:val="22"/>
          <w:szCs w:val="22"/>
        </w:rPr>
        <w:t xml:space="preserve">Hawaiian Land Terms,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130—note complexity of terminology, compare to modern terms and usage—what do they tell you about the traditional Hawaiian view of the land?</w:t>
      </w:r>
    </w:p>
    <w:p w:rsidR="00264616" w:rsidRPr="0077630B" w:rsidRDefault="00264616" w:rsidP="00264616">
      <w:pPr>
        <w:widowControl w:val="0"/>
        <w:rPr>
          <w:rFonts w:ascii="Garamond" w:hAnsi="Garamond" w:cs="Garamond"/>
          <w:sz w:val="22"/>
          <w:szCs w:val="22"/>
        </w:rPr>
      </w:pPr>
      <w:r w:rsidRPr="0077630B">
        <w:rPr>
          <w:rFonts w:ascii="Garamond" w:hAnsi="Garamond" w:cs="Garamond"/>
          <w:b/>
          <w:bCs/>
          <w:sz w:val="22"/>
          <w:szCs w:val="22"/>
        </w:rPr>
        <w:t>1928</w:t>
      </w:r>
      <w:r w:rsidRPr="0077630B">
        <w:rPr>
          <w:rFonts w:ascii="Garamond" w:hAnsi="Garamond" w:cs="Garamond"/>
          <w:sz w:val="22"/>
          <w:szCs w:val="22"/>
        </w:rPr>
        <w:t xml:space="preserve">: The </w:t>
      </w:r>
      <w:proofErr w:type="spellStart"/>
      <w:r w:rsidRPr="0077630B">
        <w:rPr>
          <w:rFonts w:ascii="Garamond" w:hAnsi="Garamond" w:cs="Garamond"/>
          <w:sz w:val="22"/>
          <w:szCs w:val="22"/>
        </w:rPr>
        <w:t>Paehumus</w:t>
      </w:r>
      <w:proofErr w:type="spellEnd"/>
      <w:r w:rsidRPr="0077630B">
        <w:rPr>
          <w:rFonts w:ascii="Garamond" w:hAnsi="Garamond" w:cs="Garamond"/>
          <w:sz w:val="22"/>
          <w:szCs w:val="22"/>
        </w:rPr>
        <w:t xml:space="preserve"> of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Non-Sacred, by T.G. Thrum</w:t>
      </w:r>
      <w:r>
        <w:rPr>
          <w:rFonts w:ascii="Garamond" w:hAnsi="Garamond" w:cs="Garamond"/>
          <w:sz w:val="22"/>
          <w:szCs w:val="22"/>
        </w:rPr>
        <w:t xml:space="preserve"> ……….</w:t>
      </w:r>
      <w:r w:rsidRPr="0077630B">
        <w:rPr>
          <w:rFonts w:ascii="Garamond" w:hAnsi="Garamond" w:cs="Garamond"/>
          <w:sz w:val="22"/>
          <w:szCs w:val="22"/>
        </w:rPr>
        <w:t>................ 134</w:t>
      </w:r>
    </w:p>
    <w:p w:rsidR="00264616" w:rsidRPr="0077630B" w:rsidRDefault="00264616" w:rsidP="00264616">
      <w:pPr>
        <w:widowControl w:val="0"/>
        <w:ind w:left="360" w:hanging="360"/>
        <w:rPr>
          <w:rFonts w:ascii="Garamond" w:hAnsi="Garamond" w:cs="Garamond"/>
          <w:sz w:val="22"/>
          <w:szCs w:val="22"/>
        </w:rPr>
      </w:pPr>
      <w:r w:rsidRPr="0077630B">
        <w:rPr>
          <w:rFonts w:ascii="Garamond" w:hAnsi="Garamond" w:cs="Garamond"/>
          <w:b/>
          <w:bCs/>
          <w:sz w:val="22"/>
          <w:szCs w:val="22"/>
        </w:rPr>
        <w:t>1907</w:t>
      </w:r>
      <w:r w:rsidRPr="0077630B">
        <w:rPr>
          <w:rFonts w:ascii="Garamond" w:hAnsi="Garamond" w:cs="Garamond"/>
          <w:sz w:val="22"/>
          <w:szCs w:val="22"/>
        </w:rPr>
        <w:t xml:space="preserve">: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and </w:t>
      </w:r>
      <w:proofErr w:type="spellStart"/>
      <w:r w:rsidRPr="0077630B">
        <w:rPr>
          <w:rFonts w:ascii="Garamond" w:hAnsi="Garamond" w:cs="Garamond"/>
          <w:sz w:val="22"/>
          <w:szCs w:val="22"/>
        </w:rPr>
        <w:t>Heiau</w:t>
      </w:r>
      <w:proofErr w:type="spellEnd"/>
      <w:r w:rsidRPr="0077630B">
        <w:rPr>
          <w:rFonts w:ascii="Garamond" w:hAnsi="Garamond" w:cs="Garamond"/>
          <w:sz w:val="22"/>
          <w:szCs w:val="22"/>
        </w:rPr>
        <w:t xml:space="preserve"> Sites Throughout the Hawaiian Islands: Island of Kauai; Island of Oahu; by T.G. Thrum</w:t>
      </w:r>
      <w:r>
        <w:rPr>
          <w:rFonts w:ascii="Garamond" w:hAnsi="Garamond" w:cs="Garamond"/>
          <w:sz w:val="22"/>
          <w:szCs w:val="22"/>
        </w:rPr>
        <w:t xml:space="preserve"> ………………………………………………………</w:t>
      </w:r>
      <w:r w:rsidRPr="0077630B">
        <w:rPr>
          <w:rFonts w:ascii="Garamond" w:hAnsi="Garamond" w:cs="Garamond"/>
          <w:sz w:val="22"/>
          <w:szCs w:val="22"/>
        </w:rPr>
        <w:t>............. 143</w:t>
      </w:r>
    </w:p>
    <w:p w:rsidR="00264616" w:rsidRPr="0077630B" w:rsidRDefault="00264616" w:rsidP="00264616">
      <w:pPr>
        <w:widowControl w:val="0"/>
        <w:ind w:left="360" w:hanging="360"/>
        <w:rPr>
          <w:rFonts w:ascii="Garamond" w:hAnsi="Garamond" w:cs="Garamond"/>
          <w:sz w:val="22"/>
          <w:szCs w:val="22"/>
        </w:rPr>
      </w:pPr>
      <w:r>
        <w:rPr>
          <w:rFonts w:ascii="Garamond" w:hAnsi="Garamond" w:cs="Garamond"/>
          <w:b/>
          <w:sz w:val="22"/>
          <w:szCs w:val="22"/>
        </w:rPr>
        <w:t xml:space="preserve">*1907: </w:t>
      </w:r>
      <w:r w:rsidRPr="0077630B">
        <w:rPr>
          <w:rFonts w:ascii="Garamond" w:hAnsi="Garamond" w:cs="Garamond"/>
          <w:sz w:val="22"/>
          <w:szCs w:val="22"/>
        </w:rPr>
        <w:t xml:space="preserve">Tales From the Temples;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of Oahu;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of Kauai;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155</w:t>
      </w:r>
    </w:p>
    <w:p w:rsidR="00264616" w:rsidRPr="0077630B" w:rsidRDefault="00264616" w:rsidP="00264616">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1926</w:t>
      </w:r>
      <w:r w:rsidRPr="0077630B">
        <w:rPr>
          <w:rFonts w:ascii="Garamond" w:hAnsi="Garamond" w:cs="Garamond"/>
          <w:sz w:val="22"/>
          <w:szCs w:val="22"/>
        </w:rPr>
        <w:t xml:space="preserve">: </w:t>
      </w:r>
      <w:proofErr w:type="spellStart"/>
      <w:r w:rsidRPr="0077630B">
        <w:rPr>
          <w:rFonts w:ascii="Garamond" w:hAnsi="Garamond" w:cs="Garamond"/>
          <w:sz w:val="22"/>
          <w:szCs w:val="22"/>
        </w:rPr>
        <w:t>Leahi</w:t>
      </w:r>
      <w:proofErr w:type="spellEnd"/>
      <w:r w:rsidRPr="0077630B">
        <w:rPr>
          <w:rFonts w:ascii="Garamond" w:hAnsi="Garamond" w:cs="Garamond"/>
          <w:sz w:val="22"/>
          <w:szCs w:val="22"/>
        </w:rPr>
        <w:t xml:space="preserve"> </w:t>
      </w:r>
      <w:proofErr w:type="spellStart"/>
      <w:r w:rsidRPr="0077630B">
        <w:rPr>
          <w:rFonts w:ascii="Garamond" w:hAnsi="Garamond" w:cs="Garamond"/>
          <w:sz w:val="22"/>
          <w:szCs w:val="22"/>
        </w:rPr>
        <w:t>Heiau</w:t>
      </w:r>
      <w:proofErr w:type="spellEnd"/>
      <w:r w:rsidRPr="0077630B">
        <w:rPr>
          <w:rFonts w:ascii="Garamond" w:hAnsi="Garamond" w:cs="Garamond"/>
          <w:sz w:val="22"/>
          <w:szCs w:val="22"/>
        </w:rPr>
        <w:t xml:space="preserve"> (Temple): Papa-</w:t>
      </w:r>
      <w:proofErr w:type="spellStart"/>
      <w:r w:rsidRPr="0077630B">
        <w:rPr>
          <w:rFonts w:ascii="Garamond" w:hAnsi="Garamond" w:cs="Garamond"/>
          <w:sz w:val="22"/>
          <w:szCs w:val="22"/>
        </w:rPr>
        <w:t>ena</w:t>
      </w:r>
      <w:proofErr w:type="spellEnd"/>
      <w:r w:rsidRPr="0077630B">
        <w:rPr>
          <w:rFonts w:ascii="Garamond" w:hAnsi="Garamond" w:cs="Garamond"/>
          <w:sz w:val="22"/>
          <w:szCs w:val="22"/>
        </w:rPr>
        <w:t>-</w:t>
      </w:r>
      <w:proofErr w:type="spellStart"/>
      <w:r w:rsidRPr="0077630B">
        <w:rPr>
          <w:rFonts w:ascii="Garamond" w:hAnsi="Garamond" w:cs="Garamond"/>
          <w:sz w:val="22"/>
          <w:szCs w:val="22"/>
        </w:rPr>
        <w:t>ena</w:t>
      </w:r>
      <w:proofErr w:type="spellEnd"/>
      <w:r w:rsidRPr="0077630B">
        <w:rPr>
          <w:rFonts w:ascii="Garamond" w:hAnsi="Garamond" w:cs="Garamond"/>
          <w:sz w:val="22"/>
          <w:szCs w:val="22"/>
        </w:rPr>
        <w:t>, by T.G. Thrum</w:t>
      </w:r>
      <w:r>
        <w:rPr>
          <w:rFonts w:ascii="Garamond" w:hAnsi="Garamond" w:cs="Garamond"/>
          <w:sz w:val="22"/>
          <w:szCs w:val="22"/>
        </w:rPr>
        <w:t xml:space="preserve"> ………….</w:t>
      </w:r>
      <w:r w:rsidRPr="0077630B">
        <w:rPr>
          <w:rFonts w:ascii="Garamond" w:hAnsi="Garamond" w:cs="Garamond"/>
          <w:sz w:val="22"/>
          <w:szCs w:val="22"/>
        </w:rPr>
        <w:t>............... 173—note the ritual complexity</w:t>
      </w:r>
    </w:p>
    <w:p w:rsidR="00264616" w:rsidRDefault="00264616" w:rsidP="00264616">
      <w:pPr>
        <w:widowControl w:val="0"/>
        <w:ind w:left="720" w:hanging="720"/>
        <w:rPr>
          <w:rFonts w:ascii="Garamond" w:hAnsi="Garamond" w:cs="Garamond"/>
          <w:sz w:val="22"/>
          <w:szCs w:val="22"/>
        </w:rPr>
      </w:pPr>
    </w:p>
    <w:p w:rsidR="00264616" w:rsidRPr="000B4A9D" w:rsidRDefault="00264616" w:rsidP="00264616">
      <w:pPr>
        <w:widowControl w:val="0"/>
        <w:ind w:left="720" w:hanging="720"/>
        <w:rPr>
          <w:rFonts w:ascii="Garamond" w:hAnsi="Garamond" w:cs="Garamond"/>
          <w:sz w:val="22"/>
          <w:szCs w:val="22"/>
          <w:u w:val="single"/>
        </w:rPr>
      </w:pPr>
      <w:r w:rsidRPr="000B4A9D">
        <w:rPr>
          <w:rFonts w:ascii="Garamond" w:hAnsi="Garamond" w:cs="Garamond"/>
          <w:sz w:val="22"/>
          <w:szCs w:val="22"/>
          <w:u w:val="single"/>
        </w:rPr>
        <w:t xml:space="preserve">Module II: Read from </w:t>
      </w:r>
      <w:r w:rsidRPr="00741DE4">
        <w:rPr>
          <w:rFonts w:ascii="Garamond" w:hAnsi="Garamond" w:cs="Garamond"/>
          <w:b/>
          <w:sz w:val="22"/>
          <w:szCs w:val="22"/>
          <w:u w:val="single"/>
        </w:rPr>
        <w:t>Vol. 1: RETROSPECTIVES, TRIVIA AND MARITIME</w:t>
      </w:r>
    </w:p>
    <w:p w:rsidR="00264616" w:rsidRPr="0077630B" w:rsidRDefault="00264616" w:rsidP="00264616">
      <w:pPr>
        <w:widowControl w:val="0"/>
        <w:rPr>
          <w:rFonts w:ascii="Garamond" w:hAnsi="Garamond" w:cs="Garamond"/>
          <w:sz w:val="22"/>
          <w:szCs w:val="22"/>
        </w:rPr>
      </w:pPr>
      <w:r>
        <w:rPr>
          <w:rFonts w:ascii="Garamond" w:hAnsi="Garamond" w:cs="Garamond"/>
          <w:sz w:val="22"/>
          <w:szCs w:val="22"/>
        </w:rPr>
        <w:t>Pick one</w:t>
      </w:r>
      <w:r w:rsidRPr="0077630B">
        <w:rPr>
          <w:rFonts w:ascii="Garamond" w:hAnsi="Garamond" w:cs="Garamond"/>
          <w:sz w:val="22"/>
          <w:szCs w:val="22"/>
        </w:rPr>
        <w:t xml:space="preserve"> year from 1877-1898 </w:t>
      </w:r>
      <w:r>
        <w:rPr>
          <w:rFonts w:ascii="Garamond" w:hAnsi="Garamond" w:cs="Garamond"/>
          <w:sz w:val="22"/>
          <w:szCs w:val="22"/>
        </w:rPr>
        <w:t xml:space="preserve">and read the Retrospective for that year </w:t>
      </w:r>
      <w:r w:rsidRPr="0077630B">
        <w:rPr>
          <w:rFonts w:ascii="Garamond" w:hAnsi="Garamond" w:cs="Garamond"/>
          <w:sz w:val="22"/>
          <w:szCs w:val="22"/>
        </w:rPr>
        <w:t>to get a sense of what was going—</w:t>
      </w:r>
      <w:r>
        <w:rPr>
          <w:rFonts w:ascii="Garamond" w:hAnsi="Garamond" w:cs="Garamond"/>
          <w:sz w:val="22"/>
          <w:szCs w:val="22"/>
        </w:rPr>
        <w:t>t</w:t>
      </w:r>
      <w:r w:rsidRPr="0077630B">
        <w:rPr>
          <w:rFonts w:ascii="Garamond" w:hAnsi="Garamond" w:cs="Garamond"/>
          <w:sz w:val="22"/>
          <w:szCs w:val="22"/>
        </w:rPr>
        <w:t xml:space="preserve">hen read a </w:t>
      </w:r>
      <w:r>
        <w:rPr>
          <w:rFonts w:ascii="Garamond" w:hAnsi="Garamond" w:cs="Garamond"/>
          <w:sz w:val="22"/>
          <w:szCs w:val="22"/>
        </w:rPr>
        <w:t>second</w:t>
      </w:r>
      <w:r w:rsidRPr="0077630B">
        <w:rPr>
          <w:rFonts w:ascii="Garamond" w:hAnsi="Garamond" w:cs="Garamond"/>
          <w:sz w:val="22"/>
          <w:szCs w:val="22"/>
        </w:rPr>
        <w:t xml:space="preserve"> year from 190</w:t>
      </w:r>
      <w:r>
        <w:rPr>
          <w:rFonts w:ascii="Garamond" w:hAnsi="Garamond" w:cs="Garamond"/>
          <w:sz w:val="22"/>
          <w:szCs w:val="22"/>
        </w:rPr>
        <w:t>5</w:t>
      </w:r>
      <w:r w:rsidRPr="0077630B">
        <w:rPr>
          <w:rFonts w:ascii="Garamond" w:hAnsi="Garamond" w:cs="Garamond"/>
          <w:sz w:val="22"/>
          <w:szCs w:val="22"/>
        </w:rPr>
        <w:t>-1932 and look at what has changed</w:t>
      </w:r>
      <w:r>
        <w:rPr>
          <w:rFonts w:ascii="Garamond" w:hAnsi="Garamond" w:cs="Garamond"/>
          <w:sz w:val="22"/>
          <w:szCs w:val="22"/>
        </w:rPr>
        <w:t xml:space="preserve">--how and </w:t>
      </w:r>
      <w:r w:rsidRPr="0077630B">
        <w:rPr>
          <w:rFonts w:ascii="Garamond" w:hAnsi="Garamond" w:cs="Garamond"/>
          <w:sz w:val="22"/>
          <w:szCs w:val="22"/>
        </w:rPr>
        <w:t>why?</w:t>
      </w:r>
    </w:p>
    <w:p w:rsidR="00264616" w:rsidRDefault="00264616" w:rsidP="00264616">
      <w:pPr>
        <w:widowControl w:val="0"/>
        <w:rPr>
          <w:rFonts w:ascii="Garamond" w:hAnsi="Garamond" w:cs="Garamond"/>
          <w:b/>
          <w:bCs/>
          <w:sz w:val="22"/>
          <w:szCs w:val="22"/>
        </w:rPr>
      </w:pPr>
    </w:p>
    <w:p w:rsidR="00264616" w:rsidRPr="0077630B" w:rsidRDefault="00264616" w:rsidP="00264616">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1932</w:t>
      </w:r>
      <w:r w:rsidRPr="0077630B">
        <w:rPr>
          <w:rFonts w:ascii="Garamond" w:hAnsi="Garamond" w:cs="Garamond"/>
          <w:sz w:val="22"/>
          <w:szCs w:val="22"/>
        </w:rPr>
        <w:t>: History in Honolulu Streets, by C.J. Lyons</w:t>
      </w:r>
      <w:r>
        <w:rPr>
          <w:rFonts w:ascii="Garamond" w:hAnsi="Garamond" w:cs="Garamond"/>
          <w:sz w:val="22"/>
          <w:szCs w:val="22"/>
        </w:rPr>
        <w:t xml:space="preserve"> ………………….</w:t>
      </w:r>
      <w:r w:rsidRPr="0077630B">
        <w:rPr>
          <w:rFonts w:ascii="Garamond" w:hAnsi="Garamond" w:cs="Garamond"/>
          <w:sz w:val="22"/>
          <w:szCs w:val="22"/>
        </w:rPr>
        <w:t>………. 124</w:t>
      </w:r>
    </w:p>
    <w:p w:rsidR="00264616" w:rsidRPr="0077630B" w:rsidRDefault="00264616" w:rsidP="00264616">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 xml:space="preserve">1882: </w:t>
      </w:r>
      <w:r w:rsidRPr="0077630B">
        <w:rPr>
          <w:rFonts w:ascii="Garamond" w:hAnsi="Garamond" w:cs="Garamond"/>
          <w:sz w:val="22"/>
          <w:szCs w:val="22"/>
        </w:rPr>
        <w:t>Bits of Unwritten History, by H.L. Sheldon</w:t>
      </w:r>
      <w:r>
        <w:rPr>
          <w:rFonts w:ascii="Garamond" w:hAnsi="Garamond" w:cs="Garamond"/>
          <w:sz w:val="22"/>
          <w:szCs w:val="22"/>
        </w:rPr>
        <w:t xml:space="preserve"> …………..</w:t>
      </w:r>
      <w:r w:rsidRPr="0077630B">
        <w:rPr>
          <w:rFonts w:ascii="Garamond" w:hAnsi="Garamond" w:cs="Garamond"/>
          <w:sz w:val="22"/>
          <w:szCs w:val="22"/>
        </w:rPr>
        <w:t>…………….. 128</w:t>
      </w:r>
    </w:p>
    <w:p w:rsidR="00264616" w:rsidRDefault="00264616" w:rsidP="00264616">
      <w:pPr>
        <w:widowControl w:val="0"/>
        <w:rPr>
          <w:rFonts w:ascii="Garamond" w:hAnsi="Garamond" w:cs="Garamond"/>
          <w:sz w:val="22"/>
          <w:szCs w:val="22"/>
        </w:rPr>
      </w:pPr>
    </w:p>
    <w:p w:rsidR="00264616" w:rsidRDefault="00264616" w:rsidP="00264616">
      <w:pPr>
        <w:widowControl w:val="0"/>
        <w:ind w:left="1440" w:firstLine="720"/>
        <w:rPr>
          <w:rFonts w:ascii="Garamond" w:hAnsi="Garamond" w:cs="Garamond"/>
          <w:sz w:val="22"/>
          <w:szCs w:val="22"/>
        </w:rPr>
      </w:pPr>
    </w:p>
    <w:p w:rsidR="00264616" w:rsidRPr="00C7297F" w:rsidRDefault="00264616" w:rsidP="00264616">
      <w:pPr>
        <w:widowControl w:val="0"/>
        <w:jc w:val="both"/>
        <w:rPr>
          <w:rFonts w:ascii="Garamond" w:hAnsi="Garamond" w:cs="Garamond"/>
          <w:sz w:val="22"/>
          <w:szCs w:val="22"/>
          <w:u w:val="single"/>
        </w:rPr>
      </w:pPr>
      <w:r>
        <w:rPr>
          <w:rFonts w:ascii="Garamond" w:hAnsi="Garamond" w:cs="Garamond"/>
          <w:sz w:val="22"/>
          <w:szCs w:val="22"/>
          <w:u w:val="single"/>
        </w:rPr>
        <w:t xml:space="preserve">Module </w:t>
      </w:r>
      <w:r w:rsidR="00741DE4">
        <w:rPr>
          <w:rFonts w:ascii="Garamond" w:hAnsi="Garamond" w:cs="Garamond"/>
          <w:sz w:val="22"/>
          <w:szCs w:val="22"/>
          <w:u w:val="single"/>
        </w:rPr>
        <w:t>III</w:t>
      </w:r>
      <w:r>
        <w:rPr>
          <w:rFonts w:ascii="Garamond" w:hAnsi="Garamond" w:cs="Garamond"/>
          <w:sz w:val="22"/>
          <w:szCs w:val="22"/>
          <w:u w:val="single"/>
        </w:rPr>
        <w:t xml:space="preserve">: </w:t>
      </w:r>
      <w:r w:rsidRPr="00C7297F">
        <w:rPr>
          <w:rFonts w:ascii="Garamond" w:hAnsi="Garamond" w:cs="Garamond"/>
          <w:sz w:val="22"/>
          <w:szCs w:val="22"/>
          <w:u w:val="single"/>
        </w:rPr>
        <w:t>From</w:t>
      </w:r>
      <w:r>
        <w:rPr>
          <w:rFonts w:ascii="Garamond" w:hAnsi="Garamond" w:cs="Garamond"/>
          <w:sz w:val="22"/>
          <w:szCs w:val="22"/>
          <w:u w:val="single"/>
        </w:rPr>
        <w:t xml:space="preserve"> </w:t>
      </w:r>
      <w:r w:rsidRPr="00741DE4">
        <w:rPr>
          <w:rFonts w:ascii="Garamond" w:hAnsi="Garamond" w:cs="Garamond"/>
          <w:b/>
          <w:sz w:val="22"/>
          <w:szCs w:val="22"/>
          <w:u w:val="single"/>
        </w:rPr>
        <w:t>Vol. 5: HAWAII-NEI: 1898-1910</w:t>
      </w:r>
    </w:p>
    <w:p w:rsidR="00264616" w:rsidRPr="0077630B" w:rsidRDefault="00264616" w:rsidP="00264616">
      <w:pPr>
        <w:widowControl w:val="0"/>
        <w:tabs>
          <w:tab w:val="left" w:pos="450"/>
        </w:tabs>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1899:</w:t>
      </w:r>
      <w:r w:rsidRPr="0077630B">
        <w:rPr>
          <w:rFonts w:ascii="Garamond" w:hAnsi="Garamond" w:cs="Garamond"/>
          <w:sz w:val="22"/>
          <w:szCs w:val="22"/>
        </w:rPr>
        <w:t xml:space="preserve"> Honolulu in 1853, by W. </w:t>
      </w:r>
      <w:proofErr w:type="spellStart"/>
      <w:r w:rsidRPr="0077630B">
        <w:rPr>
          <w:rFonts w:ascii="Garamond" w:hAnsi="Garamond" w:cs="Garamond"/>
          <w:sz w:val="22"/>
          <w:szCs w:val="22"/>
        </w:rPr>
        <w:t>Goodale</w:t>
      </w:r>
      <w:proofErr w:type="spellEnd"/>
      <w:r w:rsidRPr="0077630B">
        <w:rPr>
          <w:rFonts w:ascii="Garamond" w:hAnsi="Garamond" w:cs="Garamond"/>
          <w:sz w:val="22"/>
          <w:szCs w:val="22"/>
        </w:rPr>
        <w:t xml:space="preserve"> and T.G. Thrum</w:t>
      </w:r>
      <w:r>
        <w:rPr>
          <w:rFonts w:ascii="Garamond" w:hAnsi="Garamond" w:cs="Garamond"/>
          <w:sz w:val="22"/>
          <w:szCs w:val="22"/>
        </w:rPr>
        <w:t xml:space="preserve"> ……….</w:t>
      </w:r>
      <w:r w:rsidRPr="0077630B">
        <w:rPr>
          <w:rFonts w:ascii="Garamond" w:hAnsi="Garamond" w:cs="Garamond"/>
          <w:sz w:val="22"/>
          <w:szCs w:val="22"/>
        </w:rPr>
        <w:t>……… 42—try to compare to the Honolulu you know</w:t>
      </w:r>
    </w:p>
    <w:p w:rsidR="00264616" w:rsidRPr="0077630B" w:rsidRDefault="00264616" w:rsidP="00264616">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1904</w:t>
      </w:r>
      <w:r w:rsidRPr="0077630B">
        <w:rPr>
          <w:rFonts w:ascii="Garamond" w:hAnsi="Garamond" w:cs="Garamond"/>
          <w:sz w:val="22"/>
          <w:szCs w:val="22"/>
        </w:rPr>
        <w:t xml:space="preserve">: Streets of Honolulu in the Early Forties, by G.D. </w:t>
      </w:r>
      <w:proofErr w:type="gramStart"/>
      <w:r w:rsidRPr="0077630B">
        <w:rPr>
          <w:rFonts w:ascii="Garamond" w:hAnsi="Garamond" w:cs="Garamond"/>
          <w:sz w:val="22"/>
          <w:szCs w:val="22"/>
        </w:rPr>
        <w:t>Gilman</w:t>
      </w:r>
      <w:r>
        <w:rPr>
          <w:rFonts w:ascii="Garamond" w:hAnsi="Garamond" w:cs="Garamond"/>
          <w:sz w:val="22"/>
          <w:szCs w:val="22"/>
        </w:rPr>
        <w:t xml:space="preserve"> </w:t>
      </w:r>
      <w:r w:rsidRPr="0077630B">
        <w:rPr>
          <w:rFonts w:ascii="Garamond" w:hAnsi="Garamond" w:cs="Garamond"/>
          <w:sz w:val="22"/>
          <w:szCs w:val="22"/>
        </w:rPr>
        <w:t>....................</w:t>
      </w:r>
      <w:proofErr w:type="gramEnd"/>
      <w:r w:rsidRPr="0077630B">
        <w:rPr>
          <w:rFonts w:ascii="Garamond" w:hAnsi="Garamond" w:cs="Garamond"/>
          <w:sz w:val="22"/>
          <w:szCs w:val="22"/>
        </w:rPr>
        <w:t xml:space="preserve"> 106—as with </w:t>
      </w:r>
      <w:r>
        <w:rPr>
          <w:rFonts w:ascii="Garamond" w:hAnsi="Garamond" w:cs="Garamond"/>
          <w:sz w:val="22"/>
          <w:szCs w:val="22"/>
        </w:rPr>
        <w:t xml:space="preserve">the </w:t>
      </w:r>
      <w:r w:rsidRPr="0077630B">
        <w:rPr>
          <w:rFonts w:ascii="Garamond" w:hAnsi="Garamond" w:cs="Garamond"/>
          <w:sz w:val="22"/>
          <w:szCs w:val="22"/>
        </w:rPr>
        <w:t>earlier article, compare to modern Honolulu</w:t>
      </w:r>
    </w:p>
    <w:p w:rsidR="00264616" w:rsidRPr="0077630B" w:rsidRDefault="00264616" w:rsidP="00264616">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1906</w:t>
      </w:r>
      <w:r w:rsidRPr="0077630B">
        <w:rPr>
          <w:rFonts w:ascii="Garamond" w:hAnsi="Garamond" w:cs="Garamond"/>
          <w:sz w:val="22"/>
          <w:szCs w:val="22"/>
        </w:rPr>
        <w:t>: Extracts from an Ancient Log, by T.G. Thrum</w:t>
      </w:r>
      <w:r>
        <w:rPr>
          <w:rFonts w:ascii="Garamond" w:hAnsi="Garamond" w:cs="Garamond"/>
          <w:sz w:val="22"/>
          <w:szCs w:val="22"/>
        </w:rPr>
        <w:t xml:space="preserve"> …………….</w:t>
      </w:r>
      <w:r w:rsidRPr="0077630B">
        <w:rPr>
          <w:rFonts w:ascii="Garamond" w:hAnsi="Garamond" w:cs="Garamond"/>
          <w:sz w:val="22"/>
          <w:szCs w:val="22"/>
        </w:rPr>
        <w:t>................. 144—note the interesting social and geographical relationships and how Honolulu becomes dominant</w:t>
      </w:r>
    </w:p>
    <w:p w:rsidR="00264616" w:rsidRPr="0077630B" w:rsidRDefault="00264616" w:rsidP="00264616">
      <w:pPr>
        <w:widowControl w:val="0"/>
        <w:ind w:left="720" w:hanging="720"/>
        <w:rPr>
          <w:rFonts w:ascii="Garamond" w:hAnsi="Garamond" w:cs="Garamond"/>
          <w:sz w:val="22"/>
          <w:szCs w:val="22"/>
        </w:rPr>
      </w:pPr>
      <w:r w:rsidRPr="0077630B">
        <w:rPr>
          <w:rFonts w:ascii="Garamond" w:hAnsi="Garamond" w:cs="Garamond"/>
          <w:b/>
          <w:bCs/>
          <w:sz w:val="22"/>
          <w:szCs w:val="22"/>
        </w:rPr>
        <w:t xml:space="preserve">1907: </w:t>
      </w:r>
      <w:proofErr w:type="spellStart"/>
      <w:r w:rsidRPr="0077630B">
        <w:rPr>
          <w:rFonts w:ascii="Garamond" w:hAnsi="Garamond" w:cs="Garamond"/>
          <w:sz w:val="22"/>
          <w:szCs w:val="22"/>
        </w:rPr>
        <w:t>Lahaina</w:t>
      </w:r>
      <w:proofErr w:type="spellEnd"/>
      <w:r w:rsidRPr="0077630B">
        <w:rPr>
          <w:rFonts w:ascii="Garamond" w:hAnsi="Garamond" w:cs="Garamond"/>
          <w:sz w:val="22"/>
          <w:szCs w:val="22"/>
        </w:rPr>
        <w:t xml:space="preserve"> in Early Days, by G.D. Gilman</w:t>
      </w:r>
      <w:r>
        <w:rPr>
          <w:rFonts w:ascii="Garamond" w:hAnsi="Garamond" w:cs="Garamond"/>
          <w:sz w:val="22"/>
          <w:szCs w:val="22"/>
        </w:rPr>
        <w:t xml:space="preserve"> …………..</w:t>
      </w:r>
      <w:r w:rsidRPr="0077630B">
        <w:rPr>
          <w:rFonts w:ascii="Garamond" w:hAnsi="Garamond" w:cs="Garamond"/>
          <w:sz w:val="22"/>
          <w:szCs w:val="22"/>
        </w:rPr>
        <w:t xml:space="preserve">................................. 162—compare this to the modern image of </w:t>
      </w:r>
      <w:proofErr w:type="spellStart"/>
      <w:r w:rsidRPr="0077630B">
        <w:rPr>
          <w:rFonts w:ascii="Garamond" w:hAnsi="Garamond" w:cs="Garamond"/>
          <w:sz w:val="22"/>
          <w:szCs w:val="22"/>
        </w:rPr>
        <w:t>Lahaina</w:t>
      </w:r>
      <w:proofErr w:type="spellEnd"/>
      <w:r w:rsidRPr="0077630B">
        <w:rPr>
          <w:rFonts w:ascii="Garamond" w:hAnsi="Garamond" w:cs="Garamond"/>
          <w:sz w:val="22"/>
          <w:szCs w:val="22"/>
        </w:rPr>
        <w:t>/Maui</w:t>
      </w:r>
    </w:p>
    <w:p w:rsidR="00264616" w:rsidRPr="0077630B" w:rsidRDefault="00264616" w:rsidP="00264616">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1908</w:t>
      </w:r>
      <w:r w:rsidRPr="0077630B">
        <w:rPr>
          <w:rFonts w:ascii="Garamond" w:hAnsi="Garamond" w:cs="Garamond"/>
          <w:sz w:val="22"/>
          <w:szCs w:val="22"/>
        </w:rPr>
        <w:t xml:space="preserve">: An Early Ascent of </w:t>
      </w:r>
      <w:proofErr w:type="spellStart"/>
      <w:r w:rsidRPr="0077630B">
        <w:rPr>
          <w:rFonts w:ascii="Garamond" w:hAnsi="Garamond" w:cs="Garamond"/>
          <w:sz w:val="22"/>
          <w:szCs w:val="22"/>
        </w:rPr>
        <w:t>Maunaloa</w:t>
      </w:r>
      <w:proofErr w:type="spellEnd"/>
      <w:r w:rsidRPr="0077630B">
        <w:rPr>
          <w:rFonts w:ascii="Garamond" w:hAnsi="Garamond" w:cs="Garamond"/>
          <w:sz w:val="22"/>
          <w:szCs w:val="22"/>
        </w:rPr>
        <w:t xml:space="preserve">, A. </w:t>
      </w:r>
      <w:proofErr w:type="spellStart"/>
      <w:r w:rsidRPr="0077630B">
        <w:rPr>
          <w:rFonts w:ascii="Garamond" w:hAnsi="Garamond" w:cs="Garamond"/>
          <w:sz w:val="22"/>
          <w:szCs w:val="22"/>
        </w:rPr>
        <w:t>Menzies</w:t>
      </w:r>
      <w:proofErr w:type="spellEnd"/>
      <w:r w:rsidRPr="0077630B">
        <w:rPr>
          <w:rFonts w:ascii="Garamond" w:hAnsi="Garamond" w:cs="Garamond"/>
          <w:sz w:val="22"/>
          <w:szCs w:val="22"/>
        </w:rPr>
        <w:t xml:space="preserve"> and British Museum</w:t>
      </w:r>
      <w:r>
        <w:rPr>
          <w:rFonts w:ascii="Garamond" w:hAnsi="Garamond" w:cs="Garamond"/>
          <w:sz w:val="22"/>
          <w:szCs w:val="22"/>
        </w:rPr>
        <w:t xml:space="preserve"> …</w:t>
      </w:r>
      <w:r w:rsidRPr="0077630B">
        <w:rPr>
          <w:rFonts w:ascii="Garamond" w:hAnsi="Garamond" w:cs="Garamond"/>
          <w:sz w:val="22"/>
          <w:szCs w:val="22"/>
        </w:rPr>
        <w:t>....... 170—one of the best early accounts of Hawaii at the initial stage of contact, 2</w:t>
      </w:r>
      <w:r w:rsidRPr="0077630B">
        <w:rPr>
          <w:rFonts w:ascii="Garamond" w:hAnsi="Garamond" w:cs="Garamond"/>
          <w:sz w:val="22"/>
          <w:szCs w:val="22"/>
          <w:vertAlign w:val="superscript"/>
        </w:rPr>
        <w:t>nd</w:t>
      </w:r>
      <w:r w:rsidRPr="0077630B">
        <w:rPr>
          <w:rFonts w:ascii="Garamond" w:hAnsi="Garamond" w:cs="Garamond"/>
          <w:sz w:val="22"/>
          <w:szCs w:val="22"/>
        </w:rPr>
        <w:t xml:space="preserve"> part below</w:t>
      </w:r>
    </w:p>
    <w:p w:rsidR="00264616" w:rsidRPr="0077630B" w:rsidRDefault="00264616" w:rsidP="00264616">
      <w:pPr>
        <w:widowControl w:val="0"/>
        <w:ind w:left="720" w:hanging="720"/>
        <w:rPr>
          <w:rFonts w:ascii="Garamond" w:hAnsi="Garamond" w:cs="Garamond"/>
          <w:sz w:val="22"/>
          <w:szCs w:val="22"/>
        </w:rPr>
      </w:pPr>
    </w:p>
    <w:p w:rsidR="00264616" w:rsidRPr="00C7297F" w:rsidRDefault="00264616" w:rsidP="00264616">
      <w:pPr>
        <w:rPr>
          <w:rFonts w:ascii="Garamond" w:hAnsi="Garamond" w:cs="Garamond"/>
          <w:sz w:val="22"/>
          <w:szCs w:val="22"/>
          <w:u w:val="single"/>
        </w:rPr>
      </w:pPr>
      <w:r>
        <w:rPr>
          <w:rFonts w:ascii="Garamond" w:hAnsi="Garamond" w:cs="Garamond"/>
          <w:sz w:val="22"/>
          <w:szCs w:val="22"/>
          <w:u w:val="single"/>
        </w:rPr>
        <w:t xml:space="preserve">Module </w:t>
      </w:r>
      <w:r w:rsidR="00741DE4">
        <w:rPr>
          <w:rFonts w:ascii="Garamond" w:hAnsi="Garamond" w:cs="Garamond"/>
          <w:sz w:val="22"/>
          <w:szCs w:val="22"/>
          <w:u w:val="single"/>
        </w:rPr>
        <w:t>I</w:t>
      </w:r>
      <w:r>
        <w:rPr>
          <w:rFonts w:ascii="Garamond" w:hAnsi="Garamond" w:cs="Garamond"/>
          <w:sz w:val="22"/>
          <w:szCs w:val="22"/>
          <w:u w:val="single"/>
        </w:rPr>
        <w:t xml:space="preserve">V: </w:t>
      </w:r>
      <w:r w:rsidRPr="00C7297F">
        <w:rPr>
          <w:rFonts w:ascii="Garamond" w:hAnsi="Garamond" w:cs="Garamond"/>
          <w:sz w:val="22"/>
          <w:szCs w:val="22"/>
          <w:u w:val="single"/>
        </w:rPr>
        <w:t>From</w:t>
      </w:r>
      <w:r>
        <w:rPr>
          <w:rFonts w:ascii="Garamond" w:hAnsi="Garamond" w:cs="Garamond"/>
          <w:sz w:val="22"/>
          <w:szCs w:val="22"/>
          <w:u w:val="single"/>
        </w:rPr>
        <w:t xml:space="preserve"> </w:t>
      </w:r>
      <w:r w:rsidRPr="00741DE4">
        <w:rPr>
          <w:rFonts w:ascii="Garamond" w:hAnsi="Garamond" w:cs="Garamond"/>
          <w:b/>
          <w:sz w:val="22"/>
          <w:szCs w:val="22"/>
          <w:u w:val="single"/>
        </w:rPr>
        <w:t>Vol. 6: HAWAII-NEI: 1911-1920</w:t>
      </w:r>
    </w:p>
    <w:p w:rsidR="00264616" w:rsidRPr="0077630B" w:rsidRDefault="00264616" w:rsidP="00264616">
      <w:pPr>
        <w:ind w:left="720" w:hanging="720"/>
        <w:rPr>
          <w:rFonts w:ascii="Garamond" w:hAnsi="Garamond" w:cs="Garamond"/>
          <w:sz w:val="22"/>
          <w:szCs w:val="22"/>
        </w:rPr>
      </w:pPr>
      <w:r>
        <w:rPr>
          <w:rFonts w:ascii="Garamond" w:hAnsi="Garamond" w:cs="Garamond"/>
          <w:b/>
          <w:sz w:val="22"/>
          <w:szCs w:val="22"/>
        </w:rPr>
        <w:t xml:space="preserve">*1913: </w:t>
      </w:r>
      <w:r w:rsidRPr="0077630B">
        <w:rPr>
          <w:rFonts w:ascii="Garamond" w:hAnsi="Garamond" w:cs="Garamond"/>
          <w:sz w:val="22"/>
          <w:szCs w:val="22"/>
        </w:rPr>
        <w:t xml:space="preserve">The King's Daughter's Home,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82—where was this, what’s there now?</w:t>
      </w:r>
    </w:p>
    <w:p w:rsidR="00264616" w:rsidRPr="0077630B" w:rsidRDefault="00264616" w:rsidP="00264616">
      <w:pPr>
        <w:ind w:left="720" w:hanging="720"/>
        <w:rPr>
          <w:rFonts w:ascii="Garamond" w:hAnsi="Garamond" w:cs="Garamond"/>
          <w:sz w:val="22"/>
          <w:szCs w:val="22"/>
        </w:rPr>
      </w:pPr>
      <w:r>
        <w:rPr>
          <w:rFonts w:ascii="Garamond" w:hAnsi="Garamond" w:cs="Garamond"/>
          <w:b/>
          <w:sz w:val="22"/>
          <w:szCs w:val="22"/>
        </w:rPr>
        <w:t>*</w:t>
      </w:r>
      <w:r w:rsidRPr="0077630B">
        <w:rPr>
          <w:rFonts w:ascii="Garamond" w:hAnsi="Garamond" w:cs="Garamond"/>
          <w:b/>
          <w:sz w:val="22"/>
          <w:szCs w:val="22"/>
        </w:rPr>
        <w:t>1914:</w:t>
      </w:r>
      <w:r w:rsidRPr="0077630B">
        <w:rPr>
          <w:rFonts w:ascii="Garamond" w:hAnsi="Garamond" w:cs="Garamond"/>
          <w:sz w:val="22"/>
          <w:szCs w:val="22"/>
        </w:rPr>
        <w:t xml:space="preserve"> In and Around Honolulu,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88—note changes from earlier articles</w:t>
      </w:r>
    </w:p>
    <w:p w:rsidR="00264616" w:rsidRDefault="00264616" w:rsidP="00264616">
      <w:pPr>
        <w:rPr>
          <w:rFonts w:ascii="Garamond" w:hAnsi="Garamond" w:cs="Garamond"/>
          <w:sz w:val="22"/>
          <w:szCs w:val="22"/>
          <w:u w:val="single"/>
        </w:rPr>
      </w:pPr>
    </w:p>
    <w:p w:rsidR="00264616" w:rsidRDefault="00264616" w:rsidP="00264616">
      <w:pPr>
        <w:pStyle w:val="Title"/>
        <w:jc w:val="left"/>
        <w:rPr>
          <w:sz w:val="22"/>
          <w:szCs w:val="22"/>
        </w:rPr>
      </w:pPr>
    </w:p>
    <w:p w:rsidR="003321FA" w:rsidRDefault="003321FA">
      <w:pPr>
        <w:overflowPunct/>
        <w:autoSpaceDE/>
        <w:autoSpaceDN/>
        <w:adjustRightInd/>
        <w:spacing w:after="200" w:line="276" w:lineRule="auto"/>
        <w:textAlignment w:val="auto"/>
        <w:rPr>
          <w:rFonts w:eastAsia="Batang"/>
          <w:b/>
          <w:bCs/>
          <w:sz w:val="22"/>
          <w:szCs w:val="22"/>
        </w:rPr>
      </w:pPr>
      <w:r>
        <w:rPr>
          <w:sz w:val="22"/>
          <w:szCs w:val="22"/>
        </w:rPr>
        <w:br w:type="page"/>
      </w:r>
    </w:p>
    <w:p w:rsidR="00264616" w:rsidRPr="00A1250F" w:rsidRDefault="00264616" w:rsidP="00264616">
      <w:pPr>
        <w:pStyle w:val="Title"/>
        <w:jc w:val="left"/>
        <w:rPr>
          <w:sz w:val="22"/>
          <w:szCs w:val="22"/>
        </w:rPr>
      </w:pPr>
      <w:r w:rsidRPr="00A1250F">
        <w:rPr>
          <w:sz w:val="22"/>
          <w:szCs w:val="22"/>
        </w:rPr>
        <w:lastRenderedPageBreak/>
        <w:t>SCIENTIFIC METHOD DEFINITIONS</w:t>
      </w:r>
    </w:p>
    <w:p w:rsidR="00264616" w:rsidRPr="00A1250F" w:rsidRDefault="00264616" w:rsidP="00264616">
      <w:pPr>
        <w:jc w:val="center"/>
        <w:rPr>
          <w:rFonts w:eastAsia="Batang"/>
          <w:sz w:val="22"/>
          <w:szCs w:val="22"/>
        </w:rPr>
      </w:pPr>
    </w:p>
    <w:p w:rsidR="00264616" w:rsidRPr="00A1250F" w:rsidRDefault="00264616" w:rsidP="00264616">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264616" w:rsidRPr="00A1250F" w:rsidRDefault="00264616" w:rsidP="00264616">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264616" w:rsidRPr="00A1250F" w:rsidRDefault="00264616" w:rsidP="00264616">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264616" w:rsidRPr="00A1250F" w:rsidRDefault="00264616" w:rsidP="00264616">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264616" w:rsidRPr="00A1250F" w:rsidRDefault="00264616" w:rsidP="00264616">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264616" w:rsidRPr="00A1250F" w:rsidRDefault="00264616" w:rsidP="00264616">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264616" w:rsidRPr="00A1250F" w:rsidRDefault="00264616" w:rsidP="00264616">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Design </w:t>
      </w:r>
      <w:proofErr w:type="gramStart"/>
      <w:r w:rsidRPr="00A1250F">
        <w:rPr>
          <w:rFonts w:eastAsia="Batang"/>
          <w:sz w:val="22"/>
          <w:szCs w:val="22"/>
          <w:u w:val="single"/>
        </w:rPr>
        <w:t>And</w:t>
      </w:r>
      <w:proofErr w:type="gramEnd"/>
      <w:r w:rsidRPr="00A1250F">
        <w:rPr>
          <w:rFonts w:eastAsia="Batang"/>
          <w:sz w:val="22"/>
          <w:szCs w:val="22"/>
          <w:u w:val="single"/>
        </w:rPr>
        <w:t xml:space="preserve"> Counseling</w:t>
      </w:r>
    </w:p>
    <w:p w:rsidR="00264616" w:rsidRPr="00A1250F" w:rsidRDefault="00264616" w:rsidP="00264616">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264616" w:rsidRPr="00A1250F" w:rsidRDefault="00264616" w:rsidP="00264616">
      <w:pPr>
        <w:rPr>
          <w:rFonts w:eastAsia="Batang"/>
          <w:sz w:val="22"/>
          <w:szCs w:val="22"/>
        </w:rPr>
      </w:pPr>
    </w:p>
    <w:p w:rsidR="00264616" w:rsidRPr="00A1250F" w:rsidRDefault="00264616" w:rsidP="00264616">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264616" w:rsidRPr="00A1250F" w:rsidRDefault="00264616" w:rsidP="00264616">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264616" w:rsidRPr="00A1250F" w:rsidRDefault="00264616" w:rsidP="00264616">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Method </w:t>
      </w:r>
      <w:proofErr w:type="gramStart"/>
      <w:r w:rsidRPr="00A1250F">
        <w:rPr>
          <w:rFonts w:eastAsia="Batang"/>
          <w:sz w:val="22"/>
          <w:szCs w:val="22"/>
          <w:u w:val="single"/>
        </w:rPr>
        <w:t>In</w:t>
      </w:r>
      <w:proofErr w:type="gramEnd"/>
      <w:r w:rsidRPr="00A1250F">
        <w:rPr>
          <w:rFonts w:eastAsia="Batang"/>
          <w:sz w:val="22"/>
          <w:szCs w:val="22"/>
          <w:u w:val="single"/>
        </w:rPr>
        <w:t xml:space="preserve"> Social Relations</w:t>
      </w:r>
    </w:p>
    <w:p w:rsidR="00264616" w:rsidRPr="00A1250F" w:rsidRDefault="00264616" w:rsidP="00264616">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264616" w:rsidRPr="00A1250F" w:rsidRDefault="00264616" w:rsidP="00264616">
      <w:pPr>
        <w:rPr>
          <w:rFonts w:eastAsia="Batang"/>
          <w:sz w:val="22"/>
          <w:szCs w:val="22"/>
        </w:rPr>
      </w:pPr>
    </w:p>
    <w:p w:rsidR="00264616" w:rsidRPr="00A1250F" w:rsidRDefault="00264616" w:rsidP="00264616">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264616" w:rsidRPr="00A1250F" w:rsidRDefault="00264616" w:rsidP="00264616">
      <w:pPr>
        <w:rPr>
          <w:rFonts w:eastAsia="Batang"/>
          <w:sz w:val="22"/>
          <w:szCs w:val="22"/>
        </w:rPr>
      </w:pPr>
      <w:r w:rsidRPr="00A1250F">
        <w:rPr>
          <w:rFonts w:eastAsia="Batang"/>
          <w:sz w:val="22"/>
          <w:szCs w:val="22"/>
        </w:rPr>
        <w:t>Scientific research has four general goals: (1) to describe behavior, (2) to predict behavior, (3) to determine the causes of behavior, and (4) to understand o</w:t>
      </w:r>
      <w:r>
        <w:rPr>
          <w:rFonts w:eastAsia="Batang"/>
          <w:sz w:val="22"/>
          <w:szCs w:val="22"/>
        </w:rPr>
        <w:t>r</w:t>
      </w:r>
      <w:r w:rsidRPr="00A1250F">
        <w:rPr>
          <w:rFonts w:eastAsia="Batang"/>
          <w:sz w:val="22"/>
          <w:szCs w:val="22"/>
        </w:rPr>
        <w:t xml:space="preserve"> explain behavior.</w:t>
      </w:r>
    </w:p>
    <w:p w:rsidR="00264616" w:rsidRDefault="00264616" w:rsidP="00264616">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264616" w:rsidRDefault="00264616" w:rsidP="00264616">
      <w:pPr>
        <w:rPr>
          <w:rFonts w:eastAsia="Batang"/>
          <w:sz w:val="22"/>
          <w:szCs w:val="22"/>
        </w:rPr>
      </w:pPr>
    </w:p>
    <w:p w:rsidR="00264616" w:rsidRDefault="00264616" w:rsidP="00264616">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741DE4" w:rsidRDefault="003321FA" w:rsidP="00741DE4">
      <w:pPr>
        <w:rPr>
          <w:rFonts w:eastAsia="Batang"/>
          <w:sz w:val="22"/>
          <w:szCs w:val="22"/>
        </w:rPr>
      </w:pPr>
      <w:hyperlink r:id="rId9" w:history="1">
        <w:r w:rsidR="00264616" w:rsidRPr="0076257A">
          <w:rPr>
            <w:rStyle w:val="Hyperlink"/>
            <w:rFonts w:eastAsia="Batang"/>
            <w:sz w:val="22"/>
            <w:szCs w:val="22"/>
          </w:rPr>
          <w:t>http://allpsych.com/researchmethods/replication.html</w:t>
        </w:r>
      </w:hyperlink>
      <w:r w:rsidR="00264616" w:rsidRPr="0076257A">
        <w:rPr>
          <w:rFonts w:eastAsia="Batang"/>
          <w:sz w:val="22"/>
          <w:szCs w:val="22"/>
        </w:rPr>
        <w:t xml:space="preserve">  </w:t>
      </w:r>
    </w:p>
    <w:p w:rsidR="00741DE4" w:rsidRDefault="00741DE4" w:rsidP="00741DE4">
      <w:r>
        <w:t xml:space="preserve">Excerpt </w:t>
      </w:r>
      <w:proofErr w:type="gramStart"/>
      <w:r>
        <w:t>from :</w:t>
      </w:r>
      <w:proofErr w:type="gramEnd"/>
    </w:p>
    <w:p w:rsidR="003321FA" w:rsidRDefault="003321FA">
      <w:pPr>
        <w:overflowPunct/>
        <w:autoSpaceDE/>
        <w:autoSpaceDN/>
        <w:adjustRightInd/>
        <w:spacing w:after="200" w:line="276" w:lineRule="auto"/>
        <w:textAlignment w:val="auto"/>
        <w:rPr>
          <w:b/>
          <w:bCs/>
          <w:sz w:val="28"/>
          <w:szCs w:val="28"/>
        </w:rPr>
      </w:pPr>
      <w:r>
        <w:rPr>
          <w:b/>
          <w:bCs/>
          <w:sz w:val="28"/>
          <w:szCs w:val="28"/>
        </w:rPr>
        <w:br w:type="page"/>
      </w:r>
    </w:p>
    <w:p w:rsidR="00741DE4" w:rsidRDefault="00741DE4" w:rsidP="00741DE4">
      <w:pPr>
        <w:jc w:val="center"/>
      </w:pPr>
      <w:bookmarkStart w:id="0" w:name="_GoBack"/>
      <w:bookmarkEnd w:id="0"/>
      <w:r>
        <w:rPr>
          <w:b/>
          <w:bCs/>
          <w:sz w:val="28"/>
          <w:szCs w:val="28"/>
        </w:rPr>
        <w:lastRenderedPageBreak/>
        <w:t>METACOGNITION: Study Strategies, Monitoring, and Motivation</w:t>
      </w:r>
      <w:r>
        <w:t xml:space="preserve"> </w:t>
      </w:r>
    </w:p>
    <w:p w:rsidR="00741DE4" w:rsidRDefault="00741DE4" w:rsidP="00741DE4">
      <w:pPr>
        <w:pStyle w:val="NormalWeb"/>
        <w:jc w:val="center"/>
      </w:pPr>
      <w:r>
        <w:rPr>
          <w:b/>
          <w:bCs/>
          <w:sz w:val="28"/>
          <w:szCs w:val="28"/>
        </w:rPr>
        <w:t>By William Peirce © 2003</w:t>
      </w:r>
      <w:r>
        <w:t xml:space="preserve"> </w:t>
      </w:r>
    </w:p>
    <w:p w:rsidR="00741DE4" w:rsidRDefault="00741DE4" w:rsidP="00741DE4">
      <w:pPr>
        <w:jc w:val="center"/>
      </w:pPr>
      <w:r>
        <w:t>A greatly expanded text version of a workshop</w:t>
      </w:r>
      <w:r>
        <w:br/>
        <w:t xml:space="preserve">presented November 17, 2004, at Prince George's Community College </w:t>
      </w:r>
    </w:p>
    <w:p w:rsidR="00741DE4" w:rsidRDefault="00741DE4" w:rsidP="00741DE4">
      <w:r>
        <w:t xml:space="preserve">   </w:t>
      </w:r>
    </w:p>
    <w:tbl>
      <w:tblPr>
        <w:tblW w:w="4000" w:type="pct"/>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7008"/>
      </w:tblGrid>
      <w:tr w:rsidR="00741DE4" w:rsidTr="00CA6A98">
        <w:trPr>
          <w:tblCellSpacing w:w="15" w:type="dxa"/>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41DE4" w:rsidRDefault="00741DE4" w:rsidP="00CA6A98">
            <w:pPr>
              <w:spacing w:before="100" w:beforeAutospacing="1" w:after="100" w:afterAutospacing="1"/>
              <w:rPr>
                <w:sz w:val="24"/>
                <w:szCs w:val="24"/>
              </w:rPr>
            </w:pPr>
          </w:p>
        </w:tc>
      </w:tr>
    </w:tbl>
    <w:p w:rsidR="00741DE4" w:rsidRDefault="00741DE4" w:rsidP="00741DE4">
      <w:pPr>
        <w:spacing w:before="100" w:beforeAutospacing="1" w:after="100" w:afterAutospacing="1"/>
        <w:rPr>
          <w:rFonts w:eastAsiaTheme="minorEastAsia"/>
        </w:rPr>
      </w:pPr>
      <w:r>
        <w:rPr>
          <w:b/>
          <w:bCs/>
        </w:rPr>
        <w:t>Outline</w:t>
      </w:r>
      <w:r>
        <w:t xml:space="preserve"> </w:t>
      </w:r>
    </w:p>
    <w:p w:rsidR="00741DE4" w:rsidRDefault="00741DE4" w:rsidP="00741DE4">
      <w:pPr>
        <w:spacing w:before="100" w:beforeAutospacing="1" w:after="100" w:afterAutospacing="1"/>
      </w:pPr>
      <w:r>
        <w:t xml:space="preserve">I.     </w:t>
      </w:r>
      <w:hyperlink r:id="rId10" w:anchor="I" w:history="1">
        <w:r>
          <w:rPr>
            <w:rStyle w:val="Hyperlink"/>
          </w:rPr>
          <w:t>Introduction</w:t>
        </w:r>
      </w:hyperlink>
      <w:r>
        <w:t xml:space="preserve"> </w:t>
      </w:r>
    </w:p>
    <w:p w:rsidR="00741DE4" w:rsidRDefault="00741DE4" w:rsidP="00741DE4">
      <w:pPr>
        <w:spacing w:before="100" w:beforeAutospacing="1" w:after="100" w:afterAutospacing="1"/>
      </w:pPr>
      <w:r>
        <w:t xml:space="preserve">II.    </w:t>
      </w:r>
      <w:hyperlink r:id="rId11" w:anchor="II" w:history="1">
        <w:r>
          <w:rPr>
            <w:rStyle w:val="Hyperlink"/>
          </w:rPr>
          <w:t>Metacognition and Three Types of Knowledge</w:t>
        </w:r>
      </w:hyperlink>
      <w:r>
        <w:t xml:space="preserve"> </w:t>
      </w:r>
    </w:p>
    <w:p w:rsidR="00741DE4" w:rsidRDefault="00741DE4" w:rsidP="00741DE4">
      <w:pPr>
        <w:spacing w:before="100" w:beforeAutospacing="1" w:after="100" w:afterAutospacing="1"/>
        <w:ind w:left="720" w:hanging="720"/>
      </w:pPr>
      <w:r>
        <w:t>III.</w:t>
      </w:r>
      <w:proofErr w:type="gramStart"/>
      <w:r>
        <w:t xml:space="preserve">  </w:t>
      </w:r>
      <w:proofErr w:type="gramEnd"/>
      <w:r>
        <w:fldChar w:fldCharType="begin"/>
      </w:r>
      <w:r>
        <w:instrText xml:space="preserve"> HYPERLINK "http://academic.pgcc.edu/~wpeirce/MCCCTR/metacognition.htm" \l "III" </w:instrText>
      </w:r>
      <w:r>
        <w:fldChar w:fldCharType="separate"/>
      </w:r>
      <w:r>
        <w:rPr>
          <w:rStyle w:val="Hyperlink"/>
        </w:rPr>
        <w:t>Metacognition and Study Strategies</w:t>
      </w:r>
      <w:r>
        <w:fldChar w:fldCharType="end"/>
      </w:r>
      <w:r>
        <w:t xml:space="preserve"> </w:t>
      </w:r>
    </w:p>
    <w:p w:rsidR="00741DE4" w:rsidRDefault="00741DE4" w:rsidP="00741DE4">
      <w:pPr>
        <w:spacing w:before="100" w:beforeAutospacing="1" w:after="100" w:afterAutospacing="1"/>
        <w:ind w:left="720" w:hanging="720"/>
      </w:pPr>
      <w:r>
        <w:t>IV.</w:t>
      </w:r>
      <w:proofErr w:type="gramStart"/>
      <w:r>
        <w:t xml:space="preserve">  </w:t>
      </w:r>
      <w:proofErr w:type="gramEnd"/>
      <w:r>
        <w:fldChar w:fldCharType="begin"/>
      </w:r>
      <w:r>
        <w:instrText xml:space="preserve"> HYPERLINK "http://academic.pgcc.edu/~wpeirce/MCCCTR/metacognition.htm" \l "IV" </w:instrText>
      </w:r>
      <w:r>
        <w:fldChar w:fldCharType="separate"/>
      </w:r>
      <w:r>
        <w:rPr>
          <w:rStyle w:val="Hyperlink"/>
        </w:rPr>
        <w:t>Monitoring Problems with Learning</w:t>
      </w:r>
      <w:r>
        <w:fldChar w:fldCharType="end"/>
      </w:r>
      <w:r>
        <w:t xml:space="preserve"> </w:t>
      </w:r>
    </w:p>
    <w:p w:rsidR="00741DE4" w:rsidRDefault="00741DE4" w:rsidP="00741DE4">
      <w:pPr>
        <w:spacing w:before="100" w:beforeAutospacing="1" w:after="100" w:afterAutospacing="1"/>
        <w:ind w:left="720" w:hanging="720"/>
      </w:pPr>
      <w:r>
        <w:t xml:space="preserve">V.    </w:t>
      </w:r>
      <w:hyperlink r:id="rId12" w:anchor="V" w:history="1">
        <w:r>
          <w:rPr>
            <w:rStyle w:val="Hyperlink"/>
          </w:rPr>
          <w:t>Metacognition and Motivation</w:t>
        </w:r>
      </w:hyperlink>
      <w:r>
        <w:t xml:space="preserve"> </w:t>
      </w:r>
    </w:p>
    <w:p w:rsidR="00741DE4" w:rsidRDefault="00741DE4" w:rsidP="00741DE4">
      <w:pPr>
        <w:spacing w:before="100" w:beforeAutospacing="1" w:after="100" w:afterAutospacing="1"/>
        <w:ind w:left="720" w:hanging="720"/>
      </w:pPr>
      <w:r>
        <w:t xml:space="preserve">VI.   </w:t>
      </w:r>
      <w:hyperlink r:id="rId13" w:anchor="VI" w:history="1">
        <w:r>
          <w:rPr>
            <w:rStyle w:val="Hyperlink"/>
          </w:rPr>
          <w:t>Metacognition and At-Risk Students</w:t>
        </w:r>
      </w:hyperlink>
      <w:r>
        <w:t xml:space="preserve"> </w:t>
      </w:r>
    </w:p>
    <w:p w:rsidR="00741DE4" w:rsidRDefault="00741DE4" w:rsidP="00741DE4">
      <w:pPr>
        <w:spacing w:before="100" w:beforeAutospacing="1" w:after="100" w:afterAutospacing="1"/>
        <w:ind w:left="720" w:hanging="720"/>
      </w:pPr>
      <w:r>
        <w:t>VII.</w:t>
      </w:r>
      <w:proofErr w:type="gramStart"/>
      <w:r>
        <w:t xml:space="preserve">  </w:t>
      </w:r>
      <w:proofErr w:type="gramEnd"/>
      <w:r>
        <w:fldChar w:fldCharType="begin"/>
      </w:r>
      <w:r>
        <w:instrText xml:space="preserve"> HYPERLINK "http://academic.pgcc.edu/~wpeirce/MCCCTR/metacognition.htm" \l "VII" </w:instrText>
      </w:r>
      <w:r>
        <w:fldChar w:fldCharType="separate"/>
      </w:r>
      <w:r>
        <w:rPr>
          <w:rStyle w:val="Hyperlink"/>
        </w:rPr>
        <w:t>Five Generalizations from a Review of the Literature of Study Strategies</w:t>
      </w:r>
      <w:r>
        <w:fldChar w:fldCharType="end"/>
      </w:r>
      <w:r>
        <w:t xml:space="preserve"> </w:t>
      </w:r>
    </w:p>
    <w:p w:rsidR="00741DE4" w:rsidRDefault="00741DE4" w:rsidP="00741DE4">
      <w:pPr>
        <w:spacing w:before="100" w:beforeAutospacing="1" w:after="100" w:afterAutospacing="1"/>
        <w:ind w:left="720" w:hanging="720"/>
      </w:pPr>
      <w:r>
        <w:t xml:space="preserve">VIII. </w:t>
      </w:r>
      <w:hyperlink r:id="rId14" w:anchor="VIII" w:history="1">
        <w:r>
          <w:rPr>
            <w:rStyle w:val="Hyperlink"/>
          </w:rPr>
          <w:t>What Instructors Can Do to Help Students</w:t>
        </w:r>
      </w:hyperlink>
      <w:r>
        <w:t xml:space="preserve"> </w:t>
      </w:r>
    </w:p>
    <w:p w:rsidR="00741DE4" w:rsidRDefault="00741DE4" w:rsidP="00741DE4">
      <w:pPr>
        <w:spacing w:before="100" w:beforeAutospacing="1" w:after="100" w:afterAutospacing="1"/>
        <w:ind w:left="1080" w:hanging="120"/>
      </w:pPr>
      <w:proofErr w:type="spellStart"/>
      <w:r>
        <w:t>A.Some</w:t>
      </w:r>
      <w:proofErr w:type="spellEnd"/>
      <w:r>
        <w:t xml:space="preserve"> Sample Metacognitive Strategies </w:t>
      </w:r>
    </w:p>
    <w:p w:rsidR="00741DE4" w:rsidRDefault="00741DE4" w:rsidP="00741DE4">
      <w:pPr>
        <w:spacing w:before="100" w:beforeAutospacing="1" w:after="100" w:afterAutospacing="1"/>
        <w:ind w:left="1080" w:hanging="120"/>
      </w:pPr>
      <w:proofErr w:type="spellStart"/>
      <w:r>
        <w:t>B.Strategies</w:t>
      </w:r>
      <w:proofErr w:type="spellEnd"/>
      <w:r>
        <w:t xml:space="preserve"> for Instructors to Use in Teaching Textbook Reading </w:t>
      </w:r>
    </w:p>
    <w:p w:rsidR="00741DE4" w:rsidRDefault="00741DE4" w:rsidP="00741DE4">
      <w:pPr>
        <w:spacing w:before="100" w:beforeAutospacing="1" w:after="100" w:afterAutospacing="1"/>
        <w:ind w:left="1080" w:hanging="120"/>
      </w:pPr>
      <w:proofErr w:type="spellStart"/>
      <w:r>
        <w:t>C.Strategies</w:t>
      </w:r>
      <w:proofErr w:type="spellEnd"/>
      <w:r>
        <w:t xml:space="preserve"> for Students to Use for Textbook Reading </w:t>
      </w:r>
    </w:p>
    <w:p w:rsidR="00741DE4" w:rsidRDefault="00741DE4" w:rsidP="00741DE4">
      <w:pPr>
        <w:spacing w:before="100" w:beforeAutospacing="1" w:after="100" w:afterAutospacing="1"/>
        <w:ind w:left="1080" w:hanging="120"/>
      </w:pPr>
      <w:proofErr w:type="spellStart"/>
      <w:r>
        <w:t>D.Sample</w:t>
      </w:r>
      <w:proofErr w:type="spellEnd"/>
      <w:r>
        <w:t xml:space="preserve"> Reflective Topics for Self-Monitoring and Self-Assessment </w:t>
      </w:r>
    </w:p>
    <w:p w:rsidR="00741DE4" w:rsidRDefault="00741DE4" w:rsidP="00741DE4">
      <w:pPr>
        <w:spacing w:before="100" w:beforeAutospacing="1" w:after="100" w:afterAutospacing="1"/>
        <w:ind w:left="720" w:hanging="720"/>
      </w:pPr>
      <w:r>
        <w:t xml:space="preserve">IX.   </w:t>
      </w:r>
      <w:hyperlink r:id="rId15" w:anchor="IX" w:history="1">
        <w:r>
          <w:rPr>
            <w:rStyle w:val="Hyperlink"/>
          </w:rPr>
          <w:t>References</w:t>
        </w:r>
      </w:hyperlink>
      <w:r>
        <w:t xml:space="preserve"> </w:t>
      </w:r>
    </w:p>
    <w:p w:rsidR="00741DE4" w:rsidRDefault="00741DE4" w:rsidP="00741DE4">
      <w:pPr>
        <w:pStyle w:val="NormalWeb"/>
        <w:jc w:val="center"/>
      </w:pPr>
      <w:r>
        <w:rPr>
          <w:noProof/>
        </w:rPr>
        <w:lastRenderedPageBreak/>
        <w:drawing>
          <wp:inline distT="0" distB="0" distL="0" distR="0">
            <wp:extent cx="4219575" cy="4038736"/>
            <wp:effectExtent l="19050" t="0" r="9525" b="0"/>
            <wp:docPr id="2" name="Picture 1" descr="C:\Documents and Settings\rb\My Documents\Docs\METACOGNITION article-peirce 2003_files\meta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My Documents\Docs\METACOGNITION article-peirce 2003_files\metaco1.jpg"/>
                    <pic:cNvPicPr>
                      <a:picLocks noChangeAspect="1" noChangeArrowheads="1"/>
                    </pic:cNvPicPr>
                  </pic:nvPicPr>
                  <pic:blipFill>
                    <a:blip r:embed="rId16" r:link="rId17" cstate="print"/>
                    <a:srcRect/>
                    <a:stretch>
                      <a:fillRect/>
                    </a:stretch>
                  </pic:blipFill>
                  <pic:spPr bwMode="auto">
                    <a:xfrm>
                      <a:off x="0" y="0"/>
                      <a:ext cx="4219575" cy="4038736"/>
                    </a:xfrm>
                    <a:prstGeom prst="rect">
                      <a:avLst/>
                    </a:prstGeom>
                    <a:noFill/>
                    <a:ln w="9525">
                      <a:noFill/>
                      <a:miter lim="800000"/>
                      <a:headEnd/>
                      <a:tailEnd/>
                    </a:ln>
                  </pic:spPr>
                </pic:pic>
              </a:graphicData>
            </a:graphic>
          </wp:inline>
        </w:drawing>
      </w:r>
    </w:p>
    <w:p w:rsidR="00741DE4" w:rsidRDefault="00741DE4" w:rsidP="00741DE4">
      <w:pPr>
        <w:spacing w:before="100" w:beforeAutospacing="1" w:after="100" w:afterAutospacing="1"/>
      </w:pPr>
      <w:bookmarkStart w:id="1" w:name="I"/>
      <w:bookmarkEnd w:id="1"/>
      <w:r>
        <w:rPr>
          <w:b/>
          <w:bCs/>
        </w:rPr>
        <w:t>I. Introduction</w:t>
      </w:r>
      <w:r>
        <w:t xml:space="preserve"> </w:t>
      </w:r>
    </w:p>
    <w:p w:rsidR="00741DE4" w:rsidRDefault="00741DE4" w:rsidP="00741DE4">
      <w:pPr>
        <w:spacing w:before="100" w:beforeAutospacing="1" w:after="100" w:afterAutospacing="1"/>
      </w:pPr>
      <w:r>
        <w:t>In general,</w:t>
      </w:r>
      <w:r>
        <w:rPr>
          <w:b/>
          <w:bCs/>
        </w:rPr>
        <w:t xml:space="preserve"> metacognition</w:t>
      </w:r>
      <w:r>
        <w:t xml:space="preserve"> is thinking about thinking. More specifically, Taylor (1999) defines metacognition as “an appreciation of what one already knows, together with a correct apprehension of the learning task and what knowledge and skills it requires, combined with the agility to make correct inferences about how to apply one’s strategic knowledge to a particular situation, and to do so efficiently and reliably.” </w:t>
      </w:r>
    </w:p>
    <w:p w:rsidR="00741DE4" w:rsidRDefault="00741DE4" w:rsidP="00741DE4">
      <w:pPr>
        <w:spacing w:before="100" w:beforeAutospacing="1" w:after="100" w:afterAutospacing="1"/>
      </w:pPr>
      <w:r>
        <w:t>The more students are aware of their thinking processes as they learn, the more they can control such matters as goals, dispositions, and attention. Self-awareness promotes self-regulation. If students are aware of how committed (or uncommitted) they are to reaching goals, of how strong (or weak) is their disposition to persist, and of how focused (or wandering) is their attention to a thinking or writing task, they can regulate their commitment, disposition, and attention (</w:t>
      </w:r>
      <w:proofErr w:type="spellStart"/>
      <w:r>
        <w:t>Marzano</w:t>
      </w:r>
      <w:proofErr w:type="spellEnd"/>
      <w:r>
        <w:t xml:space="preserve"> et al., 1988). For example, if students were aware of a lack of commitment to writing a long research assignment, noticed that they were procrastinating, and were aware that they were distracted by more appealing ways to spend their time, they could then take action to get started on the assignment. But until they are aware of their procrastination and take control by making a plan for doing the assignment, they will blissfully continue to neglect the assignment. </w:t>
      </w:r>
    </w:p>
    <w:p w:rsidR="00741DE4" w:rsidRDefault="00741DE4" w:rsidP="00741DE4">
      <w:pPr>
        <w:spacing w:before="100" w:beforeAutospacing="1" w:after="100" w:afterAutospacing="1"/>
      </w:pPr>
      <w:bookmarkStart w:id="2" w:name="II"/>
      <w:bookmarkEnd w:id="2"/>
      <w:r>
        <w:rPr>
          <w:b/>
          <w:bCs/>
        </w:rPr>
        <w:t>II. Metacognition and Three Types of Knowledge </w:t>
      </w:r>
      <w:r>
        <w:t xml:space="preserve"> </w:t>
      </w:r>
    </w:p>
    <w:p w:rsidR="00741DE4" w:rsidRDefault="00741DE4" w:rsidP="00741DE4">
      <w:pPr>
        <w:spacing w:before="100" w:beforeAutospacing="1" w:after="100" w:afterAutospacing="1"/>
      </w:pPr>
      <w:r>
        <w:t xml:space="preserve">To increase their metacognitive abilities, students need to possess and be aware of three kinds of content knowledge: declarative, procedural, and conditional. </w:t>
      </w:r>
      <w:r>
        <w:rPr>
          <w:b/>
          <w:bCs/>
        </w:rPr>
        <w:t>Declarative knowledge</w:t>
      </w:r>
      <w:r>
        <w:t xml:space="preserve"> is the factual information that one knows; it can be declared—spoken or written. An example is </w:t>
      </w:r>
      <w:proofErr w:type="gramStart"/>
      <w:r>
        <w:t>knowing</w:t>
      </w:r>
      <w:proofErr w:type="gramEnd"/>
      <w:r>
        <w:t xml:space="preserve"> the formula for calculating momentum in a physics class (momentum = mass times velocity). </w:t>
      </w:r>
      <w:r>
        <w:rPr>
          <w:b/>
          <w:bCs/>
        </w:rPr>
        <w:t>Procedural knowledge</w:t>
      </w:r>
      <w:r>
        <w:t xml:space="preserve"> is knowledge of how to do something, of how to perform the steps in a process; for example, knowing the mass of an object </w:t>
      </w:r>
      <w:r>
        <w:lastRenderedPageBreak/>
        <w:t xml:space="preserve">and its rate of speed and how to do the calculation. </w:t>
      </w:r>
      <w:r>
        <w:rPr>
          <w:b/>
          <w:bCs/>
        </w:rPr>
        <w:t>Conditional knowledge</w:t>
      </w:r>
      <w:r>
        <w:t xml:space="preserve"> is knowledge about when to use a procedure, skill, or strategy and when not to use it; why a procedure works and under what conditions; and why one procedure is better than another. For example, students need to recognize that an exam word problem requires the calculation of momentum as part of its solution. </w:t>
      </w:r>
    </w:p>
    <w:p w:rsidR="00741DE4" w:rsidRDefault="00741DE4" w:rsidP="00741DE4">
      <w:pPr>
        <w:spacing w:before="100" w:beforeAutospacing="1" w:after="100" w:afterAutospacing="1"/>
      </w:pPr>
      <w:r>
        <w:t xml:space="preserve">This notion of three kinds of knowledge applies to learning strategies as well as course content. When they study, students need the declarative knowledge that (1) all reading assignments are not alike; for </w:t>
      </w:r>
      <w:proofErr w:type="gramStart"/>
      <w:r>
        <w:t>example, that</w:t>
      </w:r>
      <w:proofErr w:type="gramEnd"/>
      <w:r>
        <w:t xml:space="preserve"> a history textbook chapter with factual information differs from a primary historical document, which is different from an article interpreting or analyzing that document. They need to know that stories and novels differ from arguments. Furthermore they need to know that there are different kinds of note taking strategies useful for annotating these different types of texts. And (2) students need to know how to actually write different kinds of notes (procedural knowledge), and (3) they need to know when to apply these kinds of notes when they study (conditional knowledge). Knowledge of study strategies is among the kinds of metacognitive knowledge, and it too requires awareness of all three kinds of knowledge. </w:t>
      </w:r>
    </w:p>
    <w:p w:rsidR="00741DE4" w:rsidRDefault="00741DE4" w:rsidP="00741DE4">
      <w:pPr>
        <w:spacing w:before="100" w:beforeAutospacing="1" w:after="100" w:afterAutospacing="1"/>
      </w:pPr>
      <w:bookmarkStart w:id="3" w:name="III"/>
      <w:bookmarkEnd w:id="3"/>
      <w:r>
        <w:rPr>
          <w:b/>
          <w:bCs/>
        </w:rPr>
        <w:t>III. Metacognition and Study Strategies</w:t>
      </w:r>
      <w:r>
        <w:t xml:space="preserve"> </w:t>
      </w:r>
    </w:p>
    <w:p w:rsidR="00741DE4" w:rsidRDefault="00741DE4" w:rsidP="00741DE4">
      <w:pPr>
        <w:spacing w:before="100" w:beforeAutospacing="1" w:after="100" w:afterAutospacing="1"/>
      </w:pPr>
      <w:r>
        <w:t xml:space="preserve">Research shows that explicitly teaching study strategies in content courses improves learning. </w:t>
      </w:r>
      <w:proofErr w:type="gramStart"/>
      <w:r>
        <w:t xml:space="preserve">(Commander &amp; </w:t>
      </w:r>
      <w:proofErr w:type="spellStart"/>
      <w:r>
        <w:t>Valeri</w:t>
      </w:r>
      <w:proofErr w:type="spellEnd"/>
      <w:r>
        <w:t xml:space="preserve">-Gold, 2001; Ramp &amp; </w:t>
      </w:r>
      <w:proofErr w:type="spellStart"/>
      <w:r>
        <w:t>Guffey</w:t>
      </w:r>
      <w:proofErr w:type="spellEnd"/>
      <w:r>
        <w:t xml:space="preserve">, 1999; Chiang, 1998; El-Hindi, 1997; </w:t>
      </w:r>
      <w:proofErr w:type="spellStart"/>
      <w:r>
        <w:t>McKeachie</w:t>
      </w:r>
      <w:proofErr w:type="spellEnd"/>
      <w:r>
        <w:t>, 1988).</w:t>
      </w:r>
      <w:proofErr w:type="gramEnd"/>
      <w:r>
        <w:t xml:space="preserve"> Research also shows that few instructors explicitly teach study strategies; they seem to assume that students have already learned them in high school—but they haven’t. </w:t>
      </w:r>
      <w:proofErr w:type="gramStart"/>
      <w:r>
        <w:t>(</w:t>
      </w:r>
      <w:proofErr w:type="spellStart"/>
      <w:r>
        <w:t>McKeachie</w:t>
      </w:r>
      <w:proofErr w:type="spellEnd"/>
      <w:r>
        <w:t>, 1988).</w:t>
      </w:r>
      <w:proofErr w:type="gramEnd"/>
      <w:r>
        <w:t xml:space="preserve"> Rote memorization is the usual learning strategy—and often the only strategy—employed by high school students when they go to college (</w:t>
      </w:r>
      <w:proofErr w:type="spellStart"/>
      <w:r>
        <w:t>Nist</w:t>
      </w:r>
      <w:proofErr w:type="spellEnd"/>
      <w:r>
        <w:t xml:space="preserve">, 1993). </w:t>
      </w:r>
    </w:p>
    <w:p w:rsidR="00741DE4" w:rsidRDefault="00741DE4" w:rsidP="00741DE4">
      <w:pPr>
        <w:spacing w:before="100" w:beforeAutospacing="1" w:after="100" w:afterAutospacing="1"/>
      </w:pPr>
      <w:r>
        <w:t xml:space="preserve">Study strategies are diverse and don’t work in every context. For example, reading for information acquisition won’t work in a literature course and won’t work if students are supposed to critically evaluate an article. But students who have learned only the strategy of reading to pass a quiz on the information will not go beyond this strategy. Study strategies don’t necessarily transfer into other domains. Students need to know they have choices about which strategies to employ in different contexts. And students who learn study skills in one course need to apply study strategies in other contexts than where they first learned it. </w:t>
      </w:r>
    </w:p>
    <w:p w:rsidR="00741DE4" w:rsidRDefault="00741DE4" w:rsidP="00741DE4">
      <w:pPr>
        <w:spacing w:before="100" w:beforeAutospacing="1" w:after="100" w:afterAutospacing="1"/>
      </w:pPr>
      <w:r>
        <w:t xml:space="preserve">Students need to monitor their application of study strategies. Metacognitive awareness of their learning processes is as important as their monitoring of their learning of the course content. Metacognition includes goal setting, monitoring, self-assessing, and regulating during thinking and writing processes; that is, when they’re studying and doing homework. An essential component of metacognition is employing study strategies to reach a goal, self-assessing one’s effectiveness in reaching that goal, and then self-regulating in response to the self-assessment. </w:t>
      </w:r>
    </w:p>
    <w:p w:rsidR="00741DE4" w:rsidRDefault="00741DE4" w:rsidP="00741DE4">
      <w:pPr>
        <w:spacing w:before="100" w:beforeAutospacing="1" w:after="100" w:afterAutospacing="1"/>
      </w:pPr>
      <w:bookmarkStart w:id="4" w:name="IV"/>
      <w:bookmarkEnd w:id="4"/>
      <w:r>
        <w:rPr>
          <w:b/>
          <w:bCs/>
        </w:rPr>
        <w:t>IV. Monitoring Problems with Learning</w:t>
      </w:r>
      <w:r>
        <w:t xml:space="preserve"> </w:t>
      </w:r>
    </w:p>
    <w:p w:rsidR="00741DE4" w:rsidRDefault="00741DE4" w:rsidP="00741DE4">
      <w:pPr>
        <w:spacing w:before="100" w:beforeAutospacing="1" w:after="100" w:afterAutospacing="1"/>
      </w:pPr>
      <w:r>
        <w:t xml:space="preserve">When students monitor their learning, they can become aware of potential problems. Nickerson, Perkins, and Smith (1985) in </w:t>
      </w:r>
      <w:r>
        <w:rPr>
          <w:i/>
          <w:iCs/>
        </w:rPr>
        <w:t>The Teaching of Thinking</w:t>
      </w:r>
      <w:r>
        <w:t xml:space="preserve"> have categorized several types of problems with learning. </w:t>
      </w:r>
    </w:p>
    <w:p w:rsidR="00741DE4" w:rsidRDefault="00741DE4" w:rsidP="00741DE4">
      <w:pPr>
        <w:spacing w:before="100" w:beforeAutospacing="1" w:after="100" w:afterAutospacing="1"/>
      </w:pPr>
      <w:r>
        <w:rPr>
          <w:b/>
          <w:bCs/>
        </w:rPr>
        <w:t>A. Problems with Process; Making errors in encoding, operations, and goals:</w:t>
      </w:r>
      <w:r>
        <w:t xml:space="preserve"> </w:t>
      </w:r>
    </w:p>
    <w:p w:rsidR="00741DE4" w:rsidRDefault="00741DE4" w:rsidP="00741DE4">
      <w:pPr>
        <w:spacing w:before="100" w:beforeAutospacing="1" w:after="100" w:afterAutospacing="1"/>
      </w:pPr>
      <w:proofErr w:type="gramStart"/>
      <w:r>
        <w:t>1.Errors</w:t>
      </w:r>
      <w:proofErr w:type="gramEnd"/>
      <w:r>
        <w:t xml:space="preserve"> in Encoding </w:t>
      </w:r>
    </w:p>
    <w:p w:rsidR="00741DE4" w:rsidRDefault="00741DE4" w:rsidP="00741DE4">
      <w:r>
        <w:t>Missing important data or not separating relevant from irrelevant data. For example, some literature students will base their interpretation of a poem on just the first stanza.</w:t>
      </w:r>
    </w:p>
    <w:p w:rsidR="00741DE4" w:rsidRDefault="00741DE4" w:rsidP="00741DE4">
      <w:proofErr w:type="gramStart"/>
      <w:r>
        <w:t>2.Errors</w:t>
      </w:r>
      <w:proofErr w:type="gramEnd"/>
      <w:r>
        <w:t xml:space="preserve"> in Operations</w:t>
      </w:r>
    </w:p>
    <w:p w:rsidR="00741DE4" w:rsidRDefault="00741DE4" w:rsidP="00741DE4">
      <w:proofErr w:type="gramStart"/>
      <w:r>
        <w:t xml:space="preserve">Failing to select the right </w:t>
      </w:r>
      <w:proofErr w:type="spellStart"/>
      <w:r>
        <w:t>subskills</w:t>
      </w:r>
      <w:proofErr w:type="spellEnd"/>
      <w:r>
        <w:t xml:space="preserve"> to apply.</w:t>
      </w:r>
      <w:proofErr w:type="gramEnd"/>
      <w:r>
        <w:t xml:space="preserve"> For example, when proofreading, some students will just read to see if it sounds right, rather than making </w:t>
      </w:r>
      <w:proofErr w:type="spellStart"/>
      <w:r>
        <w:t>separatepasses</w:t>
      </w:r>
      <w:proofErr w:type="spellEnd"/>
      <w:r>
        <w:t xml:space="preserve"> that check for fragments, subject-verb </w:t>
      </w:r>
      <w:proofErr w:type="spellStart"/>
      <w:r>
        <w:t>misagreement</w:t>
      </w:r>
      <w:proofErr w:type="spellEnd"/>
      <w:r>
        <w:t>, and other errors they have learned from experience they are likely to make.</w:t>
      </w:r>
    </w:p>
    <w:p w:rsidR="00741DE4" w:rsidRDefault="00741DE4" w:rsidP="00741DE4">
      <w:pPr>
        <w:spacing w:before="100" w:beforeAutospacing="1" w:after="100" w:afterAutospacing="1"/>
        <w:rPr>
          <w:rFonts w:eastAsiaTheme="minorEastAsia"/>
        </w:rPr>
      </w:pPr>
      <w:proofErr w:type="gramStart"/>
      <w:r>
        <w:lastRenderedPageBreak/>
        <w:t>Failing to divide a task into subparts.</w:t>
      </w:r>
      <w:proofErr w:type="gramEnd"/>
      <w:r>
        <w:t xml:space="preserve"> For example, some math students will jump right to what they think is the final calculation to get the desired answer. </w:t>
      </w:r>
    </w:p>
    <w:p w:rsidR="00741DE4" w:rsidRDefault="00741DE4" w:rsidP="00741DE4">
      <w:pPr>
        <w:spacing w:before="100" w:beforeAutospacing="1" w:after="100" w:afterAutospacing="1"/>
      </w:pPr>
      <w:r>
        <w:t xml:space="preserve">3.   Errors in Goal Seeking </w:t>
      </w:r>
    </w:p>
    <w:p w:rsidR="00741DE4" w:rsidRDefault="00741DE4" w:rsidP="00741DE4">
      <w:pPr>
        <w:spacing w:before="100" w:beforeAutospacing="1" w:after="100" w:afterAutospacing="1"/>
      </w:pPr>
      <w:proofErr w:type="gramStart"/>
      <w:r>
        <w:t>Misrepresenting the task.</w:t>
      </w:r>
      <w:proofErr w:type="gramEnd"/>
      <w:r>
        <w:t xml:space="preserve"> For example, students in a speech communication class instead of doing the assigned task of analyzing and classifying group communication strategies used in their group discussions will just write a narrative of who said what. </w:t>
      </w:r>
      <w:r>
        <w:br/>
        <w:t>Not understanding the criteria to apply. For example, when asked to evaluate the support provided for the major claim of an article, students will explain why they liked the article rather than apply appropriate evaluative criteria.</w:t>
      </w:r>
    </w:p>
    <w:p w:rsidR="00741DE4" w:rsidRDefault="00741DE4" w:rsidP="00741DE4">
      <w:r>
        <w:rPr>
          <w:b/>
          <w:bCs/>
        </w:rPr>
        <w:t>B. Problems with Cognitive Load</w:t>
      </w:r>
    </w:p>
    <w:p w:rsidR="00741DE4" w:rsidRDefault="00741DE4" w:rsidP="00741DE4">
      <w:proofErr w:type="gramStart"/>
      <w:r>
        <w:t xml:space="preserve">Too many </w:t>
      </w:r>
      <w:proofErr w:type="spellStart"/>
      <w:r>
        <w:t>subskills</w:t>
      </w:r>
      <w:proofErr w:type="spellEnd"/>
      <w:r>
        <w:t xml:space="preserve"> necessary to do a task.</w:t>
      </w:r>
      <w:proofErr w:type="gramEnd"/>
      <w:r>
        <w:t xml:space="preserve"> For example, some students might have not yet learned how to carry out all the steps in a complex nursing procedure.</w:t>
      </w:r>
    </w:p>
    <w:p w:rsidR="00741DE4" w:rsidRDefault="00741DE4" w:rsidP="00741DE4">
      <w:pPr>
        <w:spacing w:before="100" w:beforeAutospacing="1" w:after="100" w:afterAutospacing="1"/>
        <w:rPr>
          <w:rFonts w:eastAsiaTheme="minorEastAsia"/>
        </w:rPr>
      </w:pPr>
      <w:r>
        <w:t xml:space="preserve">Not enough automatic, internalized </w:t>
      </w:r>
      <w:proofErr w:type="spellStart"/>
      <w:r>
        <w:t>subskills</w:t>
      </w:r>
      <w:proofErr w:type="spellEnd"/>
      <w:r>
        <w:t>. For example, students in an argument and persuasion class might have to check their notes on how to analyze persuasive strategies because they have not internalized the procedure.</w:t>
      </w:r>
    </w:p>
    <w:p w:rsidR="00741DE4" w:rsidRDefault="00741DE4" w:rsidP="00741DE4">
      <w:r>
        <w:rPr>
          <w:b/>
          <w:bCs/>
        </w:rPr>
        <w:t>C. Problems with Abilities</w:t>
      </w:r>
    </w:p>
    <w:p w:rsidR="00741DE4" w:rsidRDefault="00741DE4" w:rsidP="00741DE4">
      <w:r>
        <w:t>Lacking the level of needed mental abilities. For example, students are asked to think abstractly about general concepts and issues, but they can only think concretely about specific situations.</w:t>
      </w:r>
    </w:p>
    <w:p w:rsidR="00741DE4" w:rsidRDefault="00741DE4" w:rsidP="00741DE4">
      <w:r>
        <w:t>A good way to discover what kind of errors students are making in their thinking processes is to get them to unpack their thinking, to tell you step by step how they are going about the task. By listening to how they are doing the cognitive task, an instructor can detect where the student is going wrong. Asking students to describe their thinking processes also develops their metacognitive abilities—a very necessary skill to improve thinking.</w:t>
      </w:r>
    </w:p>
    <w:p w:rsidR="00741DE4" w:rsidRDefault="00741DE4" w:rsidP="00741DE4">
      <w:pPr>
        <w:spacing w:before="100" w:beforeAutospacing="1" w:after="100" w:afterAutospacing="1"/>
        <w:rPr>
          <w:rFonts w:eastAsiaTheme="minorEastAsia"/>
        </w:rPr>
      </w:pPr>
      <w:bookmarkStart w:id="5" w:name="V"/>
      <w:bookmarkEnd w:id="5"/>
      <w:r>
        <w:rPr>
          <w:b/>
          <w:bCs/>
        </w:rPr>
        <w:t>V. Metacognition and Motivation</w:t>
      </w:r>
      <w:r>
        <w:t xml:space="preserve"> </w:t>
      </w:r>
    </w:p>
    <w:p w:rsidR="00741DE4" w:rsidRDefault="00741DE4" w:rsidP="00741DE4">
      <w:pPr>
        <w:spacing w:before="100" w:beforeAutospacing="1" w:after="100" w:afterAutospacing="1"/>
      </w:pPr>
      <w:r>
        <w:t xml:space="preserve">Metacognition affects motivation because it affects attribution and self-efficacy. When students get results on tests and grades on assignments (especially unexpected results such as failures), they perform a mental causal search to explain to themselves why the results happened. When they achieve good results, students tend to attribute the result to two internal factors: their own ability and effort. When they fail, they might attribute the cause to these same internal factors or they might, in a self-protective rationalization, distance themselves from a sense of personal failure by blaming external causes, such as an overly difficult task, an instructor’s perverse testing habits, or bad luck. This tendency to attribute success to ability and effort promotes future success because it develops confidence in one’s ability to solve future unfamiliar and challenging tasks. The converse is also true. Attributing failure to a lack of ability reduces self-confidence and reduces the student’s summoning of intellectual and emotional abilities to the next challenging tasks; attribution theory also explains why such students will be unwilling to seek help from tutors and other support services: they believe it would not be worth their effort. In addition to blaming failure on external causes, underachievers often “self-handicap” themselves by deliberately putting little effort into an academic task; they thereby protect themselves from attributing their failure to a painful lack of ability by attributing their failure to lack of effort (Stage et al, 1998) (Click </w:t>
      </w:r>
      <w:hyperlink r:id="rId18" w:history="1">
        <w:r>
          <w:rPr>
            <w:rStyle w:val="Hyperlink"/>
          </w:rPr>
          <w:t xml:space="preserve">here </w:t>
        </w:r>
      </w:hyperlink>
      <w:r>
        <w:t xml:space="preserve">for a review and summary of </w:t>
      </w:r>
      <w:r>
        <w:rPr>
          <w:i/>
          <w:iCs/>
        </w:rPr>
        <w:t>Creating Learning Centered Classrooms</w:t>
      </w:r>
      <w:r>
        <w:t xml:space="preserve"> by Stage et al.) </w:t>
      </w:r>
    </w:p>
    <w:p w:rsidR="00741DE4" w:rsidRDefault="00741DE4" w:rsidP="00741DE4">
      <w:pPr>
        <w:spacing w:before="100" w:beforeAutospacing="1" w:after="100" w:afterAutospacing="1"/>
      </w:pPr>
      <w:bookmarkStart w:id="6" w:name="VI"/>
      <w:bookmarkEnd w:id="6"/>
      <w:r>
        <w:rPr>
          <w:b/>
          <w:bCs/>
        </w:rPr>
        <w:t>VI. Metacognition and At-Risk Students</w:t>
      </w:r>
      <w:r>
        <w:t xml:space="preserve"> </w:t>
      </w:r>
    </w:p>
    <w:p w:rsidR="00741DE4" w:rsidRDefault="00741DE4" w:rsidP="00741DE4">
      <w:pPr>
        <w:spacing w:before="100" w:beforeAutospacing="1" w:after="100" w:afterAutospacing="1"/>
      </w:pPr>
      <w:r>
        <w:t xml:space="preserve">The last two decades have seen a great deal of research directed towards improving the academic success of at-risk students. As </w:t>
      </w:r>
      <w:proofErr w:type="spellStart"/>
      <w:r>
        <w:t>McKeachie</w:t>
      </w:r>
      <w:proofErr w:type="spellEnd"/>
      <w:r>
        <w:t xml:space="preserve"> (1988) explains, the problems are </w:t>
      </w:r>
    </w:p>
    <w:p w:rsidR="00741DE4" w:rsidRDefault="00741DE4" w:rsidP="00741DE4">
      <w:pPr>
        <w:numPr>
          <w:ilvl w:val="0"/>
          <w:numId w:val="5"/>
        </w:numPr>
        <w:overflowPunct/>
        <w:autoSpaceDE/>
        <w:autoSpaceDN/>
        <w:adjustRightInd/>
        <w:spacing w:before="100" w:beforeAutospacing="1" w:after="100" w:afterAutospacing="1"/>
        <w:textAlignment w:val="auto"/>
      </w:pPr>
      <w:r>
        <w:lastRenderedPageBreak/>
        <w:t>Students “enter the higher levels of education with . . . strategies that handicap them in achieving success.” (p. 5)</w:t>
      </w:r>
    </w:p>
    <w:p w:rsidR="00741DE4" w:rsidRDefault="00741DE4" w:rsidP="00741DE4">
      <w:pPr>
        <w:numPr>
          <w:ilvl w:val="0"/>
          <w:numId w:val="5"/>
        </w:numPr>
        <w:overflowPunct/>
        <w:autoSpaceDE/>
        <w:autoSpaceDN/>
        <w:adjustRightInd/>
        <w:spacing w:before="100" w:beforeAutospacing="1" w:after="100" w:afterAutospacing="1"/>
        <w:textAlignment w:val="auto"/>
      </w:pPr>
      <w:r>
        <w:t>“[N]either home backgrounds nor schools have helped young adults become aware of alternative ways of approaching learning situations, and of options other than increasing or decreasing one’s effort as one approaches different learning situations” (p. 5)</w:t>
      </w:r>
    </w:p>
    <w:p w:rsidR="00741DE4" w:rsidRDefault="00741DE4" w:rsidP="00741DE4">
      <w:pPr>
        <w:numPr>
          <w:ilvl w:val="0"/>
          <w:numId w:val="5"/>
        </w:numPr>
        <w:overflowPunct/>
        <w:autoSpaceDE/>
        <w:autoSpaceDN/>
        <w:adjustRightInd/>
        <w:spacing w:before="100" w:beforeAutospacing="1" w:after="100" w:afterAutospacing="1"/>
        <w:textAlignment w:val="auto"/>
      </w:pPr>
      <w:r>
        <w:t>Teachers give plenty of feedback about the correctness of learning outcomes but not about how to achieve these outcomes.</w:t>
      </w:r>
    </w:p>
    <w:p w:rsidR="00741DE4" w:rsidRDefault="00741DE4" w:rsidP="00741DE4">
      <w:r>
        <w:t>The use of learning strategies is linked to motivation. When students fail, they tend to assign the cause to something stable and unchangeable—low innate ability—rather than to something they have the ability to change—employing different, more effective, learning strategies.</w:t>
      </w:r>
    </w:p>
    <w:p w:rsidR="00741DE4" w:rsidRDefault="00741DE4" w:rsidP="00741DE4">
      <w:pPr>
        <w:spacing w:before="100" w:beforeAutospacing="1" w:after="100" w:afterAutospacing="1"/>
        <w:rPr>
          <w:b/>
          <w:bCs/>
          <w:sz w:val="28"/>
          <w:szCs w:val="28"/>
        </w:rPr>
      </w:pPr>
      <w:bookmarkStart w:id="7" w:name="VII"/>
      <w:bookmarkEnd w:id="7"/>
      <w:r>
        <w:rPr>
          <w:b/>
          <w:bCs/>
          <w:sz w:val="28"/>
          <w:szCs w:val="28"/>
        </w:rPr>
        <w:t xml:space="preserve">. . . . . . </w:t>
      </w:r>
    </w:p>
    <w:p w:rsidR="00741DE4" w:rsidRDefault="00741DE4" w:rsidP="00741DE4">
      <w:pPr>
        <w:spacing w:before="100" w:beforeAutospacing="1" w:after="100" w:afterAutospacing="1"/>
      </w:pPr>
      <w:r>
        <w:rPr>
          <w:b/>
          <w:bCs/>
          <w:sz w:val="28"/>
          <w:szCs w:val="28"/>
        </w:rPr>
        <w:t>C.</w:t>
      </w:r>
      <w:r>
        <w:rPr>
          <w:b/>
          <w:bCs/>
        </w:rPr>
        <w:t xml:space="preserve"> Strategies for Students to Use for Textbook</w:t>
      </w:r>
      <w:r>
        <w:t xml:space="preserve"> </w:t>
      </w:r>
      <w:r>
        <w:rPr>
          <w:b/>
          <w:bCs/>
        </w:rPr>
        <w:t>Reading</w:t>
      </w:r>
      <w:r>
        <w:t xml:space="preserve"> </w:t>
      </w:r>
    </w:p>
    <w:p w:rsidR="00741DE4" w:rsidRDefault="00741DE4" w:rsidP="00741DE4">
      <w:pPr>
        <w:numPr>
          <w:ilvl w:val="0"/>
          <w:numId w:val="6"/>
        </w:numPr>
        <w:overflowPunct/>
        <w:autoSpaceDE/>
        <w:autoSpaceDN/>
        <w:adjustRightInd/>
        <w:spacing w:before="100" w:beforeAutospacing="1" w:after="100" w:afterAutospacing="1"/>
        <w:textAlignment w:val="auto"/>
      </w:pPr>
      <w:r>
        <w:t xml:space="preserve">Answer instructor-provided questions </w:t>
      </w:r>
    </w:p>
    <w:p w:rsidR="00741DE4" w:rsidRDefault="00741DE4" w:rsidP="00741DE4">
      <w:pPr>
        <w:numPr>
          <w:ilvl w:val="0"/>
          <w:numId w:val="6"/>
        </w:numPr>
        <w:overflowPunct/>
        <w:autoSpaceDE/>
        <w:autoSpaceDN/>
        <w:adjustRightInd/>
        <w:spacing w:before="100" w:beforeAutospacing="1" w:after="100" w:afterAutospacing="1"/>
        <w:textAlignment w:val="auto"/>
      </w:pPr>
      <w:r>
        <w:t xml:space="preserve">Ask and answer student-generated questions </w:t>
      </w:r>
    </w:p>
    <w:p w:rsidR="00741DE4" w:rsidRDefault="00741DE4" w:rsidP="00741DE4">
      <w:pPr>
        <w:numPr>
          <w:ilvl w:val="0"/>
          <w:numId w:val="6"/>
        </w:numPr>
        <w:overflowPunct/>
        <w:autoSpaceDE/>
        <w:autoSpaceDN/>
        <w:adjustRightInd/>
        <w:spacing w:before="100" w:beforeAutospacing="1" w:after="100" w:afterAutospacing="1"/>
        <w:textAlignment w:val="auto"/>
      </w:pPr>
      <w:r>
        <w:t xml:space="preserve">Produce an outline or concept map </w:t>
      </w:r>
    </w:p>
    <w:p w:rsidR="00741DE4" w:rsidRDefault="00741DE4" w:rsidP="00741DE4">
      <w:pPr>
        <w:numPr>
          <w:ilvl w:val="0"/>
          <w:numId w:val="6"/>
        </w:numPr>
        <w:overflowPunct/>
        <w:autoSpaceDE/>
        <w:autoSpaceDN/>
        <w:adjustRightInd/>
        <w:spacing w:before="100" w:beforeAutospacing="1" w:after="100" w:afterAutospacing="1"/>
        <w:textAlignment w:val="auto"/>
      </w:pPr>
      <w:r>
        <w:t xml:space="preserve">Write summaries of each section in the chapter </w:t>
      </w:r>
    </w:p>
    <w:p w:rsidR="00741DE4" w:rsidRDefault="00741DE4" w:rsidP="00741DE4">
      <w:pPr>
        <w:numPr>
          <w:ilvl w:val="0"/>
          <w:numId w:val="6"/>
        </w:numPr>
        <w:overflowPunct/>
        <w:autoSpaceDE/>
        <w:autoSpaceDN/>
        <w:adjustRightInd/>
        <w:spacing w:before="100" w:beforeAutospacing="1" w:after="100" w:afterAutospacing="1"/>
        <w:textAlignment w:val="auto"/>
      </w:pPr>
      <w:r>
        <w:t xml:space="preserve">Use the SQ4R method: Survey the text, formulate questions, read, record notes, recite, reflect </w:t>
      </w:r>
    </w:p>
    <w:p w:rsidR="00741DE4" w:rsidRDefault="00741DE4" w:rsidP="00741DE4">
      <w:pPr>
        <w:numPr>
          <w:ilvl w:val="0"/>
          <w:numId w:val="6"/>
        </w:numPr>
        <w:overflowPunct/>
        <w:autoSpaceDE/>
        <w:autoSpaceDN/>
        <w:adjustRightInd/>
        <w:spacing w:before="100" w:beforeAutospacing="1" w:after="100" w:afterAutospacing="1"/>
        <w:textAlignment w:val="auto"/>
      </w:pPr>
      <w:r>
        <w:t xml:space="preserve">Write notes that elaborate on the textbook: </w:t>
      </w:r>
    </w:p>
    <w:p w:rsidR="00741DE4" w:rsidRDefault="00741DE4" w:rsidP="00741DE4">
      <w:pPr>
        <w:spacing w:before="100" w:beforeAutospacing="1" w:after="100" w:afterAutospacing="1"/>
        <w:ind w:left="1080"/>
        <w:rPr>
          <w:rFonts w:eastAsiaTheme="minorEastAsia"/>
        </w:rPr>
      </w:pPr>
      <w:r>
        <w:t xml:space="preserve">a. Cornell method: one column for key words and concepts, a second column for comments, summaries. </w:t>
      </w:r>
      <w:proofErr w:type="gramStart"/>
      <w:r>
        <w:t>Useful for comprehension and later recall.</w:t>
      </w:r>
      <w:proofErr w:type="gramEnd"/>
      <w:r>
        <w:t xml:space="preserve"> </w:t>
      </w:r>
    </w:p>
    <w:p w:rsidR="00741DE4" w:rsidRDefault="00741DE4" w:rsidP="00741DE4">
      <w:pPr>
        <w:spacing w:before="100" w:beforeAutospacing="1" w:after="100" w:afterAutospacing="1"/>
        <w:ind w:left="1080"/>
      </w:pPr>
      <w:r>
        <w:t xml:space="preserve">b. Double-entry method: one column/page for copied passage, adjacent column/page for personal reflections on the passage. Developed by </w:t>
      </w:r>
      <w:proofErr w:type="spellStart"/>
      <w:r>
        <w:t>Berthoff</w:t>
      </w:r>
      <w:proofErr w:type="spellEnd"/>
      <w:r>
        <w:t xml:space="preserve"> (1987); useful for engaging with the text. </w:t>
      </w:r>
    </w:p>
    <w:p w:rsidR="00741DE4" w:rsidRDefault="00741DE4" w:rsidP="00741DE4">
      <w:pPr>
        <w:spacing w:before="100" w:beforeAutospacing="1" w:after="100" w:afterAutospacing="1"/>
        <w:ind w:left="1080"/>
      </w:pPr>
      <w:r>
        <w:t xml:space="preserve">c. Simpson and </w:t>
      </w:r>
      <w:proofErr w:type="spellStart"/>
      <w:r>
        <w:t>Nist</w:t>
      </w:r>
      <w:proofErr w:type="spellEnd"/>
      <w:r>
        <w:t xml:space="preserve"> (1990): seven textbook annotation processes </w:t>
      </w:r>
    </w:p>
    <w:p w:rsidR="00741DE4" w:rsidRDefault="00741DE4" w:rsidP="00741DE4">
      <w:pPr>
        <w:numPr>
          <w:ilvl w:val="0"/>
          <w:numId w:val="7"/>
        </w:numPr>
        <w:overflowPunct/>
        <w:autoSpaceDE/>
        <w:autoSpaceDN/>
        <w:adjustRightInd/>
        <w:spacing w:before="100" w:beforeAutospacing="1" w:after="100" w:afterAutospacing="1"/>
        <w:ind w:left="1200"/>
        <w:textAlignment w:val="auto"/>
      </w:pPr>
      <w:r>
        <w:t>Write brief summaries in the text margins</w:t>
      </w:r>
    </w:p>
    <w:p w:rsidR="00741DE4" w:rsidRDefault="00741DE4" w:rsidP="00741DE4">
      <w:pPr>
        <w:numPr>
          <w:ilvl w:val="0"/>
          <w:numId w:val="7"/>
        </w:numPr>
        <w:overflowPunct/>
        <w:autoSpaceDE/>
        <w:autoSpaceDN/>
        <w:adjustRightInd/>
        <w:spacing w:before="100" w:beforeAutospacing="1" w:after="100" w:afterAutospacing="1"/>
        <w:ind w:left="1200"/>
        <w:textAlignment w:val="auto"/>
      </w:pPr>
      <w:r>
        <w:t>List ideas (causes, effects, characteristics, etc.)</w:t>
      </w:r>
    </w:p>
    <w:p w:rsidR="00741DE4" w:rsidRDefault="00741DE4" w:rsidP="00741DE4">
      <w:pPr>
        <w:numPr>
          <w:ilvl w:val="0"/>
          <w:numId w:val="7"/>
        </w:numPr>
        <w:overflowPunct/>
        <w:autoSpaceDE/>
        <w:autoSpaceDN/>
        <w:adjustRightInd/>
        <w:spacing w:before="100" w:beforeAutospacing="1" w:after="100" w:afterAutospacing="1"/>
        <w:ind w:left="1200"/>
        <w:textAlignment w:val="auto"/>
      </w:pPr>
      <w:r>
        <w:t>Identify examples in the margin (write “EX”)</w:t>
      </w:r>
    </w:p>
    <w:p w:rsidR="00741DE4" w:rsidRDefault="00741DE4" w:rsidP="00741DE4">
      <w:pPr>
        <w:numPr>
          <w:ilvl w:val="0"/>
          <w:numId w:val="7"/>
        </w:numPr>
        <w:overflowPunct/>
        <w:autoSpaceDE/>
        <w:autoSpaceDN/>
        <w:adjustRightInd/>
        <w:spacing w:before="100" w:beforeAutospacing="1" w:after="100" w:afterAutospacing="1"/>
        <w:ind w:left="1200"/>
        <w:textAlignment w:val="auto"/>
      </w:pPr>
      <w:r>
        <w:t>Write key information on graphs and charts</w:t>
      </w:r>
    </w:p>
    <w:p w:rsidR="00741DE4" w:rsidRDefault="00741DE4" w:rsidP="00741DE4">
      <w:pPr>
        <w:numPr>
          <w:ilvl w:val="0"/>
          <w:numId w:val="7"/>
        </w:numPr>
        <w:overflowPunct/>
        <w:autoSpaceDE/>
        <w:autoSpaceDN/>
        <w:adjustRightInd/>
        <w:spacing w:before="100" w:beforeAutospacing="1" w:after="100" w:afterAutospacing="1"/>
        <w:ind w:left="1200"/>
        <w:textAlignment w:val="auto"/>
      </w:pPr>
      <w:r>
        <w:t>Predict potential test questions</w:t>
      </w:r>
    </w:p>
    <w:p w:rsidR="00741DE4" w:rsidRDefault="00741DE4" w:rsidP="00741DE4">
      <w:pPr>
        <w:numPr>
          <w:ilvl w:val="0"/>
          <w:numId w:val="7"/>
        </w:numPr>
        <w:overflowPunct/>
        <w:autoSpaceDE/>
        <w:autoSpaceDN/>
        <w:adjustRightInd/>
        <w:spacing w:before="100" w:beforeAutospacing="1" w:after="100" w:afterAutospacing="1"/>
        <w:ind w:left="1200"/>
        <w:textAlignment w:val="auto"/>
      </w:pPr>
      <w:r>
        <w:t xml:space="preserve">Call attention to confusion with </w:t>
      </w:r>
      <w:proofErr w:type="gramStart"/>
      <w:r>
        <w:t>a ?</w:t>
      </w:r>
      <w:proofErr w:type="gramEnd"/>
      <w:r>
        <w:t xml:space="preserve"> in the margin</w:t>
      </w:r>
    </w:p>
    <w:p w:rsidR="00741DE4" w:rsidRDefault="00741DE4" w:rsidP="00741DE4">
      <w:pPr>
        <w:numPr>
          <w:ilvl w:val="0"/>
          <w:numId w:val="7"/>
        </w:numPr>
        <w:overflowPunct/>
        <w:autoSpaceDE/>
        <w:autoSpaceDN/>
        <w:adjustRightInd/>
        <w:spacing w:before="100" w:beforeAutospacing="1" w:after="100" w:afterAutospacing="1"/>
        <w:ind w:left="1200"/>
        <w:textAlignment w:val="auto"/>
      </w:pPr>
      <w:r>
        <w:t>Underline key words</w:t>
      </w:r>
    </w:p>
    <w:p w:rsidR="00741DE4" w:rsidRDefault="00741DE4" w:rsidP="00741DE4">
      <w:r>
        <w:t>7. Connect the reading to a past lecture or to prior knowledge</w:t>
      </w:r>
      <w:r>
        <w:br/>
        <w:t>8. Compare/contrast with another reading</w:t>
      </w:r>
      <w:r>
        <w:br/>
        <w:t>9. Critique/evaluate the reading</w:t>
      </w:r>
      <w:r>
        <w:br/>
        <w:t>10. Apply the chapter content to a scenario or case</w:t>
      </w:r>
      <w:r>
        <w:br/>
        <w:t xml:space="preserve">11. Write self-assessments of your understanding of the reading. </w:t>
      </w:r>
      <w:proofErr w:type="gramStart"/>
      <w:r>
        <w:t>See D. below in next list of topics.</w:t>
      </w:r>
      <w:proofErr w:type="gramEnd"/>
      <w:r>
        <w:t xml:space="preserve"> </w:t>
      </w:r>
    </w:p>
    <w:p w:rsidR="00741DE4" w:rsidRDefault="00741DE4" w:rsidP="00741DE4">
      <w:pPr>
        <w:spacing w:before="100" w:beforeAutospacing="1" w:after="100" w:afterAutospacing="1"/>
        <w:rPr>
          <w:rFonts w:eastAsiaTheme="minorEastAsia"/>
        </w:rPr>
      </w:pPr>
      <w:r>
        <w:rPr>
          <w:b/>
          <w:bCs/>
        </w:rPr>
        <w:t>D. Sample Reflective Topics for Self-Monitoring and Self-Assessment</w:t>
      </w:r>
      <w:r>
        <w:t xml:space="preserve"> </w:t>
      </w:r>
    </w:p>
    <w:p w:rsidR="00741DE4" w:rsidRDefault="00741DE4" w:rsidP="00741DE4">
      <w:pPr>
        <w:spacing w:before="100" w:beforeAutospacing="1" w:after="100" w:afterAutospacing="1"/>
        <w:ind w:left="600"/>
      </w:pPr>
      <w:r>
        <w:rPr>
          <w:b/>
          <w:bCs/>
        </w:rPr>
        <w:t>Reading for Comprehension</w:t>
      </w:r>
      <w:r>
        <w:t xml:space="preserve"> </w:t>
      </w:r>
    </w:p>
    <w:p w:rsidR="00741DE4" w:rsidRDefault="00741DE4" w:rsidP="00741DE4">
      <w:r>
        <w:t xml:space="preserve">“What do you notice about your reading when you </w:t>
      </w:r>
      <w:proofErr w:type="gramStart"/>
      <w:r>
        <w:t>are understanding</w:t>
      </w:r>
      <w:proofErr w:type="gramEnd"/>
      <w:r>
        <w:t xml:space="preserve"> what you read? What is it that causes you difficulties when you read? In what areas of reading and remembering do you feel most at ease?” </w:t>
      </w:r>
      <w:r>
        <w:lastRenderedPageBreak/>
        <w:t>(</w:t>
      </w:r>
      <w:proofErr w:type="spellStart"/>
      <w:r>
        <w:t>Soldner</w:t>
      </w:r>
      <w:proofErr w:type="spellEnd"/>
      <w:r>
        <w:t>, 1997</w:t>
      </w:r>
      <w:proofErr w:type="gramStart"/>
      <w:r>
        <w:t>)</w:t>
      </w:r>
      <w:proofErr w:type="gramEnd"/>
      <w:r>
        <w:br/>
      </w:r>
      <w:r>
        <w:br/>
        <w:t>“Did any parts of the passage confuse me? What did I do to clarify the confusion?” (</w:t>
      </w:r>
      <w:proofErr w:type="spellStart"/>
      <w:r>
        <w:t>Gourgey</w:t>
      </w:r>
      <w:proofErr w:type="spellEnd"/>
      <w:r>
        <w:t xml:space="preserve">, 1997) </w:t>
      </w:r>
    </w:p>
    <w:p w:rsidR="00741DE4" w:rsidRDefault="00741DE4" w:rsidP="00741DE4">
      <w:pPr>
        <w:spacing w:before="100" w:beforeAutospacing="1" w:after="100" w:afterAutospacing="1"/>
        <w:ind w:left="600"/>
        <w:rPr>
          <w:rFonts w:eastAsiaTheme="minorEastAsia"/>
        </w:rPr>
      </w:pPr>
      <w:r>
        <w:rPr>
          <w:b/>
          <w:bCs/>
        </w:rPr>
        <w:t>Associative and Affective Personal Response</w:t>
      </w:r>
      <w:r>
        <w:t xml:space="preserve"> </w:t>
      </w:r>
    </w:p>
    <w:p w:rsidR="00741DE4" w:rsidRDefault="00741DE4" w:rsidP="00741DE4">
      <w:r>
        <w:t>“How does this poem make you feel? What in your own life might have influenced how you responded to the poem?” (Newton, 1991)</w:t>
      </w:r>
    </w:p>
    <w:p w:rsidR="00B0735A" w:rsidRPr="00264616" w:rsidRDefault="00B0735A">
      <w:pPr>
        <w:rPr>
          <w:rFonts w:eastAsia="Batang"/>
          <w:sz w:val="22"/>
          <w:szCs w:val="22"/>
        </w:rPr>
      </w:pPr>
    </w:p>
    <w:sectPr w:rsidR="00B0735A" w:rsidRPr="00264616" w:rsidSect="005D2163">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F5F22"/>
    <w:multiLevelType w:val="singleLevel"/>
    <w:tmpl w:val="C7B04A02"/>
    <w:lvl w:ilvl="0">
      <w:start w:val="1"/>
      <w:numFmt w:val="decimal"/>
      <w:lvlText w:val="%1) "/>
      <w:legacy w:legacy="1" w:legacySpace="0" w:legacyIndent="360"/>
      <w:lvlJc w:val="left"/>
      <w:pPr>
        <w:ind w:left="360" w:hanging="360"/>
      </w:pPr>
      <w:rPr>
        <w:rFonts w:ascii="Garamond" w:hAnsi="Garamond" w:hint="default"/>
        <w:b w:val="0"/>
        <w:i w:val="0"/>
        <w:sz w:val="22"/>
        <w:u w:val="none"/>
      </w:rPr>
    </w:lvl>
  </w:abstractNum>
  <w:abstractNum w:abstractNumId="1">
    <w:nsid w:val="10647CE2"/>
    <w:multiLevelType w:val="hybridMultilevel"/>
    <w:tmpl w:val="7152F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E468C6"/>
    <w:multiLevelType w:val="multilevel"/>
    <w:tmpl w:val="96221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CEF0E22"/>
    <w:multiLevelType w:val="hybridMultilevel"/>
    <w:tmpl w:val="C826F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4D22CD"/>
    <w:multiLevelType w:val="multilevel"/>
    <w:tmpl w:val="AC3637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76BF48AA"/>
    <w:multiLevelType w:val="multilevel"/>
    <w:tmpl w:val="D7E630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7EA018C2"/>
    <w:multiLevelType w:val="hybridMultilevel"/>
    <w:tmpl w:val="DBB09BCC"/>
    <w:lvl w:ilvl="0" w:tplc="04090001">
      <w:start w:val="1"/>
      <w:numFmt w:val="bullet"/>
      <w:lvlText w:val=""/>
      <w:lvlJc w:val="left"/>
      <w:pPr>
        <w:ind w:left="600" w:hanging="360"/>
      </w:pPr>
      <w:rPr>
        <w:rFonts w:ascii="Symbol" w:hAnsi="Symbol"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num w:numId="1">
    <w:abstractNumId w:val="0"/>
  </w:num>
  <w:num w:numId="2">
    <w:abstractNumId w:val="6"/>
  </w:num>
  <w:num w:numId="3">
    <w:abstractNumId w:val="1"/>
  </w:num>
  <w:num w:numId="4">
    <w:abstractNumId w:val="3"/>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616"/>
    <w:rsid w:val="00007E01"/>
    <w:rsid w:val="00010CEB"/>
    <w:rsid w:val="00013F82"/>
    <w:rsid w:val="0001444D"/>
    <w:rsid w:val="00015C8B"/>
    <w:rsid w:val="00022036"/>
    <w:rsid w:val="0002287E"/>
    <w:rsid w:val="00026F7F"/>
    <w:rsid w:val="000322DC"/>
    <w:rsid w:val="00051980"/>
    <w:rsid w:val="00055D60"/>
    <w:rsid w:val="00072C54"/>
    <w:rsid w:val="00077CB8"/>
    <w:rsid w:val="00077ED9"/>
    <w:rsid w:val="00081308"/>
    <w:rsid w:val="00091494"/>
    <w:rsid w:val="000B05D6"/>
    <w:rsid w:val="000B497E"/>
    <w:rsid w:val="000C3AD8"/>
    <w:rsid w:val="000E0B40"/>
    <w:rsid w:val="000F1B4E"/>
    <w:rsid w:val="000F2741"/>
    <w:rsid w:val="00105CD1"/>
    <w:rsid w:val="00111465"/>
    <w:rsid w:val="0011349A"/>
    <w:rsid w:val="00132AE5"/>
    <w:rsid w:val="00140E2D"/>
    <w:rsid w:val="001429B6"/>
    <w:rsid w:val="00146225"/>
    <w:rsid w:val="00147BFA"/>
    <w:rsid w:val="001507FD"/>
    <w:rsid w:val="00160778"/>
    <w:rsid w:val="00171C8D"/>
    <w:rsid w:val="001A5BEA"/>
    <w:rsid w:val="001A69FA"/>
    <w:rsid w:val="001C462F"/>
    <w:rsid w:val="001D3149"/>
    <w:rsid w:val="001D691F"/>
    <w:rsid w:val="001E5C1A"/>
    <w:rsid w:val="001E7F37"/>
    <w:rsid w:val="001F0071"/>
    <w:rsid w:val="001F0DD7"/>
    <w:rsid w:val="00210B7E"/>
    <w:rsid w:val="00233501"/>
    <w:rsid w:val="00247BE6"/>
    <w:rsid w:val="00250748"/>
    <w:rsid w:val="0025087F"/>
    <w:rsid w:val="00253BBC"/>
    <w:rsid w:val="00264616"/>
    <w:rsid w:val="00274054"/>
    <w:rsid w:val="00277C26"/>
    <w:rsid w:val="002A2FAD"/>
    <w:rsid w:val="002A6114"/>
    <w:rsid w:val="002B100B"/>
    <w:rsid w:val="002B2818"/>
    <w:rsid w:val="002C2A96"/>
    <w:rsid w:val="002C62E0"/>
    <w:rsid w:val="002D7ABE"/>
    <w:rsid w:val="002E5456"/>
    <w:rsid w:val="002F3A75"/>
    <w:rsid w:val="0030023E"/>
    <w:rsid w:val="00303A27"/>
    <w:rsid w:val="00304A1E"/>
    <w:rsid w:val="00304B6C"/>
    <w:rsid w:val="003106AD"/>
    <w:rsid w:val="003128BC"/>
    <w:rsid w:val="003138B1"/>
    <w:rsid w:val="0032002A"/>
    <w:rsid w:val="00324EAB"/>
    <w:rsid w:val="003321FA"/>
    <w:rsid w:val="0034472E"/>
    <w:rsid w:val="00365496"/>
    <w:rsid w:val="00367E4C"/>
    <w:rsid w:val="00367ED9"/>
    <w:rsid w:val="00371A4E"/>
    <w:rsid w:val="00377BB2"/>
    <w:rsid w:val="003813F1"/>
    <w:rsid w:val="003833B1"/>
    <w:rsid w:val="0039463E"/>
    <w:rsid w:val="003B54AF"/>
    <w:rsid w:val="003D23A9"/>
    <w:rsid w:val="003F152C"/>
    <w:rsid w:val="00405FCD"/>
    <w:rsid w:val="00431CC7"/>
    <w:rsid w:val="00442A51"/>
    <w:rsid w:val="004500D3"/>
    <w:rsid w:val="0045022A"/>
    <w:rsid w:val="00457B56"/>
    <w:rsid w:val="00463AEE"/>
    <w:rsid w:val="004851E0"/>
    <w:rsid w:val="0049629D"/>
    <w:rsid w:val="004A1049"/>
    <w:rsid w:val="004A53B3"/>
    <w:rsid w:val="004C0EE4"/>
    <w:rsid w:val="004D23D7"/>
    <w:rsid w:val="004D4AE4"/>
    <w:rsid w:val="004E1DD0"/>
    <w:rsid w:val="004F3819"/>
    <w:rsid w:val="004F60E9"/>
    <w:rsid w:val="004F7229"/>
    <w:rsid w:val="00500079"/>
    <w:rsid w:val="00502733"/>
    <w:rsid w:val="005048E9"/>
    <w:rsid w:val="005244F4"/>
    <w:rsid w:val="0054125D"/>
    <w:rsid w:val="00554612"/>
    <w:rsid w:val="0058472F"/>
    <w:rsid w:val="00586A08"/>
    <w:rsid w:val="005903E6"/>
    <w:rsid w:val="00592736"/>
    <w:rsid w:val="00597C5A"/>
    <w:rsid w:val="00597F97"/>
    <w:rsid w:val="005A2A62"/>
    <w:rsid w:val="005A55D1"/>
    <w:rsid w:val="005C405E"/>
    <w:rsid w:val="005C5AA0"/>
    <w:rsid w:val="005D2163"/>
    <w:rsid w:val="005D33F5"/>
    <w:rsid w:val="005D660A"/>
    <w:rsid w:val="005E16E3"/>
    <w:rsid w:val="005F0F3F"/>
    <w:rsid w:val="005F3BBB"/>
    <w:rsid w:val="005F48D0"/>
    <w:rsid w:val="00604D5C"/>
    <w:rsid w:val="006071E1"/>
    <w:rsid w:val="00610893"/>
    <w:rsid w:val="00610A68"/>
    <w:rsid w:val="006139E9"/>
    <w:rsid w:val="00616EF8"/>
    <w:rsid w:val="00620174"/>
    <w:rsid w:val="00621976"/>
    <w:rsid w:val="0062558B"/>
    <w:rsid w:val="00633AA6"/>
    <w:rsid w:val="006522B5"/>
    <w:rsid w:val="0066774B"/>
    <w:rsid w:val="006723C7"/>
    <w:rsid w:val="0067621D"/>
    <w:rsid w:val="006A48CF"/>
    <w:rsid w:val="006B3CC8"/>
    <w:rsid w:val="006C109A"/>
    <w:rsid w:val="006D58CB"/>
    <w:rsid w:val="006E4996"/>
    <w:rsid w:val="006E4DF7"/>
    <w:rsid w:val="006F4C6B"/>
    <w:rsid w:val="0072687C"/>
    <w:rsid w:val="00735D86"/>
    <w:rsid w:val="00741DE4"/>
    <w:rsid w:val="00743186"/>
    <w:rsid w:val="00761332"/>
    <w:rsid w:val="00776A5D"/>
    <w:rsid w:val="00785CE7"/>
    <w:rsid w:val="00790802"/>
    <w:rsid w:val="007919C5"/>
    <w:rsid w:val="0079741E"/>
    <w:rsid w:val="007A6D2D"/>
    <w:rsid w:val="007B78F8"/>
    <w:rsid w:val="007C752C"/>
    <w:rsid w:val="007D392F"/>
    <w:rsid w:val="007D5154"/>
    <w:rsid w:val="007E0C43"/>
    <w:rsid w:val="007E39AB"/>
    <w:rsid w:val="007E7C63"/>
    <w:rsid w:val="007F2371"/>
    <w:rsid w:val="00804DED"/>
    <w:rsid w:val="008062D2"/>
    <w:rsid w:val="00811879"/>
    <w:rsid w:val="00812066"/>
    <w:rsid w:val="00820AFF"/>
    <w:rsid w:val="00822CCD"/>
    <w:rsid w:val="00827AD6"/>
    <w:rsid w:val="00850109"/>
    <w:rsid w:val="008518EA"/>
    <w:rsid w:val="00854D31"/>
    <w:rsid w:val="00857B46"/>
    <w:rsid w:val="00860FBB"/>
    <w:rsid w:val="00886E1E"/>
    <w:rsid w:val="00890EF4"/>
    <w:rsid w:val="00891E3E"/>
    <w:rsid w:val="008C418F"/>
    <w:rsid w:val="008C7E6C"/>
    <w:rsid w:val="008D0F94"/>
    <w:rsid w:val="008D1969"/>
    <w:rsid w:val="008E2991"/>
    <w:rsid w:val="008E4794"/>
    <w:rsid w:val="00903B7D"/>
    <w:rsid w:val="0090793E"/>
    <w:rsid w:val="00917645"/>
    <w:rsid w:val="009332A0"/>
    <w:rsid w:val="009362DF"/>
    <w:rsid w:val="00940915"/>
    <w:rsid w:val="0094164D"/>
    <w:rsid w:val="00941C14"/>
    <w:rsid w:val="00943E14"/>
    <w:rsid w:val="0094478A"/>
    <w:rsid w:val="009536D7"/>
    <w:rsid w:val="009550EC"/>
    <w:rsid w:val="009572A5"/>
    <w:rsid w:val="00963555"/>
    <w:rsid w:val="009641C0"/>
    <w:rsid w:val="00965395"/>
    <w:rsid w:val="009A4EFF"/>
    <w:rsid w:val="009B79CC"/>
    <w:rsid w:val="009C4589"/>
    <w:rsid w:val="009C6488"/>
    <w:rsid w:val="009C769E"/>
    <w:rsid w:val="009C78FB"/>
    <w:rsid w:val="009D2737"/>
    <w:rsid w:val="009D7D82"/>
    <w:rsid w:val="00A01043"/>
    <w:rsid w:val="00A021F4"/>
    <w:rsid w:val="00A26A5C"/>
    <w:rsid w:val="00A3615B"/>
    <w:rsid w:val="00A41AAC"/>
    <w:rsid w:val="00A4369C"/>
    <w:rsid w:val="00A4449B"/>
    <w:rsid w:val="00A50527"/>
    <w:rsid w:val="00A51788"/>
    <w:rsid w:val="00A534C2"/>
    <w:rsid w:val="00A5593F"/>
    <w:rsid w:val="00A57AE0"/>
    <w:rsid w:val="00A61F06"/>
    <w:rsid w:val="00A63350"/>
    <w:rsid w:val="00A6517E"/>
    <w:rsid w:val="00A67B90"/>
    <w:rsid w:val="00A75E5B"/>
    <w:rsid w:val="00A92FF0"/>
    <w:rsid w:val="00AB43AC"/>
    <w:rsid w:val="00AC484D"/>
    <w:rsid w:val="00AE152F"/>
    <w:rsid w:val="00B0477E"/>
    <w:rsid w:val="00B053F0"/>
    <w:rsid w:val="00B06573"/>
    <w:rsid w:val="00B0735A"/>
    <w:rsid w:val="00B07F49"/>
    <w:rsid w:val="00B122A7"/>
    <w:rsid w:val="00B12807"/>
    <w:rsid w:val="00B1771E"/>
    <w:rsid w:val="00B240CF"/>
    <w:rsid w:val="00B258A9"/>
    <w:rsid w:val="00B27257"/>
    <w:rsid w:val="00B3043A"/>
    <w:rsid w:val="00B347D3"/>
    <w:rsid w:val="00B36C49"/>
    <w:rsid w:val="00B4734F"/>
    <w:rsid w:val="00B53040"/>
    <w:rsid w:val="00B716C3"/>
    <w:rsid w:val="00B80C81"/>
    <w:rsid w:val="00B910CF"/>
    <w:rsid w:val="00B96184"/>
    <w:rsid w:val="00BA4E2E"/>
    <w:rsid w:val="00BC200B"/>
    <w:rsid w:val="00BC3140"/>
    <w:rsid w:val="00BC3AFC"/>
    <w:rsid w:val="00BE4E18"/>
    <w:rsid w:val="00BE4F29"/>
    <w:rsid w:val="00BE685E"/>
    <w:rsid w:val="00BF0A86"/>
    <w:rsid w:val="00BF7FD0"/>
    <w:rsid w:val="00C0195E"/>
    <w:rsid w:val="00C064B3"/>
    <w:rsid w:val="00C11574"/>
    <w:rsid w:val="00C41BE4"/>
    <w:rsid w:val="00C42BCA"/>
    <w:rsid w:val="00C57E9A"/>
    <w:rsid w:val="00C64585"/>
    <w:rsid w:val="00C6532D"/>
    <w:rsid w:val="00C732FE"/>
    <w:rsid w:val="00C75335"/>
    <w:rsid w:val="00C75370"/>
    <w:rsid w:val="00C8447C"/>
    <w:rsid w:val="00C97DC8"/>
    <w:rsid w:val="00CA06B0"/>
    <w:rsid w:val="00CA2F3F"/>
    <w:rsid w:val="00CA5BC0"/>
    <w:rsid w:val="00CB282F"/>
    <w:rsid w:val="00CB3562"/>
    <w:rsid w:val="00CD0001"/>
    <w:rsid w:val="00CD7B0C"/>
    <w:rsid w:val="00CF1BF0"/>
    <w:rsid w:val="00CF2DBB"/>
    <w:rsid w:val="00CF4985"/>
    <w:rsid w:val="00D03442"/>
    <w:rsid w:val="00D15317"/>
    <w:rsid w:val="00D15A4D"/>
    <w:rsid w:val="00D17CE9"/>
    <w:rsid w:val="00D2392E"/>
    <w:rsid w:val="00D34B57"/>
    <w:rsid w:val="00D4212A"/>
    <w:rsid w:val="00D471DF"/>
    <w:rsid w:val="00D659B1"/>
    <w:rsid w:val="00D73475"/>
    <w:rsid w:val="00D81308"/>
    <w:rsid w:val="00DA052B"/>
    <w:rsid w:val="00DB479F"/>
    <w:rsid w:val="00DC1B3C"/>
    <w:rsid w:val="00DE52B9"/>
    <w:rsid w:val="00DF0223"/>
    <w:rsid w:val="00DF20EF"/>
    <w:rsid w:val="00E10D72"/>
    <w:rsid w:val="00E17505"/>
    <w:rsid w:val="00E21417"/>
    <w:rsid w:val="00E26296"/>
    <w:rsid w:val="00E264AE"/>
    <w:rsid w:val="00E27759"/>
    <w:rsid w:val="00E27B2A"/>
    <w:rsid w:val="00E37FD1"/>
    <w:rsid w:val="00E426F9"/>
    <w:rsid w:val="00E42C3A"/>
    <w:rsid w:val="00E53616"/>
    <w:rsid w:val="00E53744"/>
    <w:rsid w:val="00E568F3"/>
    <w:rsid w:val="00E726B2"/>
    <w:rsid w:val="00E767BC"/>
    <w:rsid w:val="00E844CB"/>
    <w:rsid w:val="00E9720D"/>
    <w:rsid w:val="00EA2048"/>
    <w:rsid w:val="00EC5458"/>
    <w:rsid w:val="00ED3824"/>
    <w:rsid w:val="00EE244E"/>
    <w:rsid w:val="00EE3DA1"/>
    <w:rsid w:val="00EF4E31"/>
    <w:rsid w:val="00F077D9"/>
    <w:rsid w:val="00F2333E"/>
    <w:rsid w:val="00F42DFA"/>
    <w:rsid w:val="00F45F9B"/>
    <w:rsid w:val="00F47ED9"/>
    <w:rsid w:val="00F50D5A"/>
    <w:rsid w:val="00F568F8"/>
    <w:rsid w:val="00F56E47"/>
    <w:rsid w:val="00F648C9"/>
    <w:rsid w:val="00F6572C"/>
    <w:rsid w:val="00F67BA5"/>
    <w:rsid w:val="00F7060E"/>
    <w:rsid w:val="00F715CA"/>
    <w:rsid w:val="00F800B7"/>
    <w:rsid w:val="00F86092"/>
    <w:rsid w:val="00F8768B"/>
    <w:rsid w:val="00F90600"/>
    <w:rsid w:val="00F92898"/>
    <w:rsid w:val="00F93D5D"/>
    <w:rsid w:val="00FC3F83"/>
    <w:rsid w:val="00FC577A"/>
    <w:rsid w:val="00FD1297"/>
    <w:rsid w:val="00FE1532"/>
    <w:rsid w:val="00FE19ED"/>
    <w:rsid w:val="00FF7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Stat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61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64616"/>
    <w:pPr>
      <w:widowControl w:val="0"/>
      <w:overflowPunct/>
      <w:autoSpaceDE/>
      <w:autoSpaceDN/>
      <w:adjustRightInd/>
      <w:ind w:left="630" w:hanging="630"/>
      <w:textAlignment w:val="auto"/>
    </w:pPr>
    <w:rPr>
      <w:rFonts w:ascii="Garamond" w:hAnsi="Garamond"/>
      <w:sz w:val="22"/>
    </w:rPr>
  </w:style>
  <w:style w:type="character" w:customStyle="1" w:styleId="BodyTextIndentChar">
    <w:name w:val="Body Text Indent Char"/>
    <w:basedOn w:val="DefaultParagraphFont"/>
    <w:link w:val="BodyTextIndent"/>
    <w:rsid w:val="00264616"/>
    <w:rPr>
      <w:rFonts w:ascii="Garamond" w:eastAsia="Times New Roman" w:hAnsi="Garamond" w:cs="Times New Roman"/>
      <w:szCs w:val="20"/>
    </w:rPr>
  </w:style>
  <w:style w:type="character" w:styleId="Hyperlink">
    <w:name w:val="Hyperlink"/>
    <w:basedOn w:val="DefaultParagraphFont"/>
    <w:rsid w:val="00264616"/>
    <w:rPr>
      <w:color w:val="0000FF"/>
      <w:u w:val="single"/>
    </w:rPr>
  </w:style>
  <w:style w:type="paragraph" w:styleId="PlainText">
    <w:name w:val="Plain Text"/>
    <w:basedOn w:val="Normal"/>
    <w:link w:val="PlainTextChar"/>
    <w:rsid w:val="00264616"/>
    <w:pPr>
      <w:widowControl w:val="0"/>
      <w:overflowPunct/>
      <w:autoSpaceDE/>
      <w:autoSpaceDN/>
      <w:adjustRightInd/>
      <w:textAlignment w:val="auto"/>
    </w:pPr>
    <w:rPr>
      <w:rFonts w:ascii="Courier New" w:hAnsi="Courier New"/>
    </w:rPr>
  </w:style>
  <w:style w:type="character" w:customStyle="1" w:styleId="PlainTextChar">
    <w:name w:val="Plain Text Char"/>
    <w:basedOn w:val="DefaultParagraphFont"/>
    <w:link w:val="PlainText"/>
    <w:rsid w:val="00264616"/>
    <w:rPr>
      <w:rFonts w:ascii="Courier New" w:eastAsia="Times New Roman" w:hAnsi="Courier New" w:cs="Times New Roman"/>
      <w:sz w:val="20"/>
      <w:szCs w:val="20"/>
    </w:rPr>
  </w:style>
  <w:style w:type="paragraph" w:styleId="Title">
    <w:name w:val="Title"/>
    <w:basedOn w:val="Normal"/>
    <w:link w:val="TitleChar"/>
    <w:qFormat/>
    <w:rsid w:val="00264616"/>
    <w:pPr>
      <w:overflowPunct/>
      <w:autoSpaceDE/>
      <w:autoSpaceDN/>
      <w:adjustRightInd/>
      <w:jc w:val="center"/>
      <w:textAlignment w:val="auto"/>
    </w:pPr>
    <w:rPr>
      <w:rFonts w:eastAsia="Batang"/>
      <w:b/>
      <w:bCs/>
      <w:sz w:val="24"/>
      <w:szCs w:val="24"/>
    </w:rPr>
  </w:style>
  <w:style w:type="character" w:customStyle="1" w:styleId="TitleChar">
    <w:name w:val="Title Char"/>
    <w:basedOn w:val="DefaultParagraphFont"/>
    <w:link w:val="Title"/>
    <w:rsid w:val="00264616"/>
    <w:rPr>
      <w:rFonts w:ascii="Times New Roman" w:eastAsia="Batang" w:hAnsi="Times New Roman" w:cs="Times New Roman"/>
      <w:b/>
      <w:bCs/>
      <w:sz w:val="24"/>
      <w:szCs w:val="24"/>
    </w:rPr>
  </w:style>
  <w:style w:type="paragraph" w:styleId="ListParagraph">
    <w:name w:val="List Paragraph"/>
    <w:basedOn w:val="Normal"/>
    <w:uiPriority w:val="34"/>
    <w:qFormat/>
    <w:rsid w:val="009C769E"/>
    <w:pPr>
      <w:ind w:left="720"/>
      <w:contextualSpacing/>
    </w:pPr>
  </w:style>
  <w:style w:type="paragraph" w:styleId="NormalWeb">
    <w:name w:val="Normal (Web)"/>
    <w:basedOn w:val="Normal"/>
    <w:uiPriority w:val="99"/>
    <w:semiHidden/>
    <w:unhideWhenUsed/>
    <w:rsid w:val="00741DE4"/>
    <w:pPr>
      <w:overflowPunct/>
      <w:autoSpaceDE/>
      <w:autoSpaceDN/>
      <w:adjustRightInd/>
      <w:spacing w:before="100" w:beforeAutospacing="1" w:after="100" w:afterAutospacing="1"/>
      <w:textAlignment w:val="auto"/>
    </w:pPr>
    <w:rPr>
      <w:rFonts w:eastAsiaTheme="minorEastAsia"/>
      <w:sz w:val="24"/>
      <w:szCs w:val="24"/>
    </w:rPr>
  </w:style>
  <w:style w:type="paragraph" w:styleId="BalloonText">
    <w:name w:val="Balloon Text"/>
    <w:basedOn w:val="Normal"/>
    <w:link w:val="BalloonTextChar"/>
    <w:uiPriority w:val="99"/>
    <w:semiHidden/>
    <w:unhideWhenUsed/>
    <w:rsid w:val="00741DE4"/>
    <w:rPr>
      <w:rFonts w:ascii="Tahoma" w:hAnsi="Tahoma" w:cs="Tahoma"/>
      <w:sz w:val="16"/>
      <w:szCs w:val="16"/>
    </w:rPr>
  </w:style>
  <w:style w:type="character" w:customStyle="1" w:styleId="BalloonTextChar">
    <w:name w:val="Balloon Text Char"/>
    <w:basedOn w:val="DefaultParagraphFont"/>
    <w:link w:val="BalloonText"/>
    <w:uiPriority w:val="99"/>
    <w:semiHidden/>
    <w:rsid w:val="00741DE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61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64616"/>
    <w:pPr>
      <w:widowControl w:val="0"/>
      <w:overflowPunct/>
      <w:autoSpaceDE/>
      <w:autoSpaceDN/>
      <w:adjustRightInd/>
      <w:ind w:left="630" w:hanging="630"/>
      <w:textAlignment w:val="auto"/>
    </w:pPr>
    <w:rPr>
      <w:rFonts w:ascii="Garamond" w:hAnsi="Garamond"/>
      <w:sz w:val="22"/>
    </w:rPr>
  </w:style>
  <w:style w:type="character" w:customStyle="1" w:styleId="BodyTextIndentChar">
    <w:name w:val="Body Text Indent Char"/>
    <w:basedOn w:val="DefaultParagraphFont"/>
    <w:link w:val="BodyTextIndent"/>
    <w:rsid w:val="00264616"/>
    <w:rPr>
      <w:rFonts w:ascii="Garamond" w:eastAsia="Times New Roman" w:hAnsi="Garamond" w:cs="Times New Roman"/>
      <w:szCs w:val="20"/>
    </w:rPr>
  </w:style>
  <w:style w:type="character" w:styleId="Hyperlink">
    <w:name w:val="Hyperlink"/>
    <w:basedOn w:val="DefaultParagraphFont"/>
    <w:rsid w:val="00264616"/>
    <w:rPr>
      <w:color w:val="0000FF"/>
      <w:u w:val="single"/>
    </w:rPr>
  </w:style>
  <w:style w:type="paragraph" w:styleId="PlainText">
    <w:name w:val="Plain Text"/>
    <w:basedOn w:val="Normal"/>
    <w:link w:val="PlainTextChar"/>
    <w:rsid w:val="00264616"/>
    <w:pPr>
      <w:widowControl w:val="0"/>
      <w:overflowPunct/>
      <w:autoSpaceDE/>
      <w:autoSpaceDN/>
      <w:adjustRightInd/>
      <w:textAlignment w:val="auto"/>
    </w:pPr>
    <w:rPr>
      <w:rFonts w:ascii="Courier New" w:hAnsi="Courier New"/>
    </w:rPr>
  </w:style>
  <w:style w:type="character" w:customStyle="1" w:styleId="PlainTextChar">
    <w:name w:val="Plain Text Char"/>
    <w:basedOn w:val="DefaultParagraphFont"/>
    <w:link w:val="PlainText"/>
    <w:rsid w:val="00264616"/>
    <w:rPr>
      <w:rFonts w:ascii="Courier New" w:eastAsia="Times New Roman" w:hAnsi="Courier New" w:cs="Times New Roman"/>
      <w:sz w:val="20"/>
      <w:szCs w:val="20"/>
    </w:rPr>
  </w:style>
  <w:style w:type="paragraph" w:styleId="Title">
    <w:name w:val="Title"/>
    <w:basedOn w:val="Normal"/>
    <w:link w:val="TitleChar"/>
    <w:qFormat/>
    <w:rsid w:val="00264616"/>
    <w:pPr>
      <w:overflowPunct/>
      <w:autoSpaceDE/>
      <w:autoSpaceDN/>
      <w:adjustRightInd/>
      <w:jc w:val="center"/>
      <w:textAlignment w:val="auto"/>
    </w:pPr>
    <w:rPr>
      <w:rFonts w:eastAsia="Batang"/>
      <w:b/>
      <w:bCs/>
      <w:sz w:val="24"/>
      <w:szCs w:val="24"/>
    </w:rPr>
  </w:style>
  <w:style w:type="character" w:customStyle="1" w:styleId="TitleChar">
    <w:name w:val="Title Char"/>
    <w:basedOn w:val="DefaultParagraphFont"/>
    <w:link w:val="Title"/>
    <w:rsid w:val="00264616"/>
    <w:rPr>
      <w:rFonts w:ascii="Times New Roman" w:eastAsia="Batang" w:hAnsi="Times New Roman" w:cs="Times New Roman"/>
      <w:b/>
      <w:bCs/>
      <w:sz w:val="24"/>
      <w:szCs w:val="24"/>
    </w:rPr>
  </w:style>
  <w:style w:type="paragraph" w:styleId="ListParagraph">
    <w:name w:val="List Paragraph"/>
    <w:basedOn w:val="Normal"/>
    <w:uiPriority w:val="34"/>
    <w:qFormat/>
    <w:rsid w:val="009C769E"/>
    <w:pPr>
      <w:ind w:left="720"/>
      <w:contextualSpacing/>
    </w:pPr>
  </w:style>
  <w:style w:type="paragraph" w:styleId="NormalWeb">
    <w:name w:val="Normal (Web)"/>
    <w:basedOn w:val="Normal"/>
    <w:uiPriority w:val="99"/>
    <w:semiHidden/>
    <w:unhideWhenUsed/>
    <w:rsid w:val="00741DE4"/>
    <w:pPr>
      <w:overflowPunct/>
      <w:autoSpaceDE/>
      <w:autoSpaceDN/>
      <w:adjustRightInd/>
      <w:spacing w:before="100" w:beforeAutospacing="1" w:after="100" w:afterAutospacing="1"/>
      <w:textAlignment w:val="auto"/>
    </w:pPr>
    <w:rPr>
      <w:rFonts w:eastAsiaTheme="minorEastAsia"/>
      <w:sz w:val="24"/>
      <w:szCs w:val="24"/>
    </w:rPr>
  </w:style>
  <w:style w:type="paragraph" w:styleId="BalloonText">
    <w:name w:val="Balloon Text"/>
    <w:basedOn w:val="Normal"/>
    <w:link w:val="BalloonTextChar"/>
    <w:uiPriority w:val="99"/>
    <w:semiHidden/>
    <w:unhideWhenUsed/>
    <w:rsid w:val="00741DE4"/>
    <w:rPr>
      <w:rFonts w:ascii="Tahoma" w:hAnsi="Tahoma" w:cs="Tahoma"/>
      <w:sz w:val="16"/>
      <w:szCs w:val="16"/>
    </w:rPr>
  </w:style>
  <w:style w:type="character" w:customStyle="1" w:styleId="BalloonTextChar">
    <w:name w:val="Balloon Text Char"/>
    <w:basedOn w:val="DefaultParagraphFont"/>
    <w:link w:val="BalloonText"/>
    <w:uiPriority w:val="99"/>
    <w:semiHidden/>
    <w:rsid w:val="00741DE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cialresearchsystems.com" TargetMode="External"/><Relationship Id="rId13" Type="http://schemas.openxmlformats.org/officeDocument/2006/relationships/hyperlink" Target="http://academic.pgcc.edu/~wpeirce/MCCCTR/metacognition.htm" TargetMode="External"/><Relationship Id="rId18" Type="http://schemas.openxmlformats.org/officeDocument/2006/relationships/hyperlink" Target="http://academic.pgcc.edu/~wpeirce/MCCCTR/stage.html" TargetMode="External"/><Relationship Id="rId3" Type="http://schemas.microsoft.com/office/2007/relationships/stylesWithEffects" Target="stylesWithEffects.xml"/><Relationship Id="rId7" Type="http://schemas.openxmlformats.org/officeDocument/2006/relationships/hyperlink" Target="mailto:bordnerr001@hawaii.rr.com" TargetMode="External"/><Relationship Id="rId12" Type="http://schemas.openxmlformats.org/officeDocument/2006/relationships/hyperlink" Target="http://academic.pgcc.edu/~wpeirce/MCCCTR/metacognition.htm" TargetMode="External"/><Relationship Id="rId17" Type="http://schemas.openxmlformats.org/officeDocument/2006/relationships/image" Target="file:///C:\Documents%20and%20Settings\rb\My%20Documents\Docs\METACOGNITION%20article-peirce%202003_files\metaco1.jpg" TargetMode="External"/><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rbordner@chaminade.edu" TargetMode="External"/><Relationship Id="rId11" Type="http://schemas.openxmlformats.org/officeDocument/2006/relationships/hyperlink" Target="http://academic.pgcc.edu/~wpeirce/MCCCTR/metacognition.htm" TargetMode="External"/><Relationship Id="rId5" Type="http://schemas.openxmlformats.org/officeDocument/2006/relationships/webSettings" Target="webSettings.xml"/><Relationship Id="rId15" Type="http://schemas.openxmlformats.org/officeDocument/2006/relationships/hyperlink" Target="http://academic.pgcc.edu/~wpeirce/MCCCTR/metacognition.htm" TargetMode="External"/><Relationship Id="rId10" Type="http://schemas.openxmlformats.org/officeDocument/2006/relationships/hyperlink" Target="http://academic.pgcc.edu/~wpeirce/MCCCTR/metacognition.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 Id="rId14" Type="http://schemas.openxmlformats.org/officeDocument/2006/relationships/hyperlink" Target="http://academic.pgcc.edu/~wpeirce/MCCCTR/metacogni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4386</Words>
  <Characters>25001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dc:creator>
  <cp:lastModifiedBy>rb</cp:lastModifiedBy>
  <cp:revision>2</cp:revision>
  <cp:lastPrinted>2012-01-13T23:28:00Z</cp:lastPrinted>
  <dcterms:created xsi:type="dcterms:W3CDTF">2013-01-10T23:48:00Z</dcterms:created>
  <dcterms:modified xsi:type="dcterms:W3CDTF">2013-01-10T23:48:00Z</dcterms:modified>
</cp:coreProperties>
</file>